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rPr>
          <w:rFonts w:ascii="Times New Roman" w:eastAsia="仿宋_GB2312"/>
          <w:b/>
          <w:sz w:val="48"/>
          <w:szCs w:val="48"/>
        </w:rPr>
      </w:pPr>
    </w:p>
    <w:p>
      <w:pPr>
        <w:spacing w:line="480" w:lineRule="auto"/>
        <w:jc w:val="center"/>
        <w:rPr>
          <w:rFonts w:ascii="Times New Roman" w:eastAsia="仿宋_GB2312"/>
          <w:b/>
          <w:sz w:val="48"/>
          <w:szCs w:val="48"/>
        </w:rPr>
      </w:pPr>
    </w:p>
    <w:p>
      <w:pPr>
        <w:spacing w:line="480" w:lineRule="auto"/>
        <w:jc w:val="center"/>
        <w:rPr>
          <w:rFonts w:ascii="Times New Roman" w:eastAsia="仿宋_GB2312"/>
          <w:b/>
          <w:sz w:val="48"/>
          <w:szCs w:val="48"/>
        </w:rPr>
      </w:pPr>
    </w:p>
    <w:p>
      <w:pPr>
        <w:spacing w:line="480" w:lineRule="auto"/>
        <w:jc w:val="center"/>
        <w:rPr>
          <w:rFonts w:ascii="Times New Roman" w:eastAsia="仿宋_GB2312"/>
          <w:b/>
          <w:sz w:val="52"/>
          <w:szCs w:val="52"/>
        </w:rPr>
      </w:pPr>
    </w:p>
    <w:p>
      <w:pPr>
        <w:widowControl/>
        <w:spacing w:line="360" w:lineRule="auto"/>
        <w:jc w:val="center"/>
        <w:rPr>
          <w:rFonts w:ascii="Times New Roman" w:hAnsi="Times New Roman" w:eastAsia="仿宋_GB2312" w:cs="Times New Roman"/>
          <w:b/>
          <w:bCs/>
          <w:color w:val="000000"/>
          <w:kern w:val="0"/>
          <w:sz w:val="48"/>
          <w:szCs w:val="52"/>
        </w:rPr>
      </w:pPr>
      <w:r>
        <w:rPr>
          <w:rFonts w:hint="default" w:ascii="Times New Roman" w:hAnsi="Times New Roman" w:eastAsia="仿宋_GB2312" w:cs="Times New Roman"/>
          <w:b/>
          <w:bCs/>
          <w:color w:val="000000"/>
          <w:kern w:val="0"/>
          <w:sz w:val="48"/>
          <w:szCs w:val="52"/>
        </w:rPr>
        <w:t>东南大学-中国移动设计院联合实验室</w:t>
      </w:r>
    </w:p>
    <w:p>
      <w:pPr>
        <w:widowControl/>
        <w:spacing w:line="360" w:lineRule="auto"/>
        <w:jc w:val="center"/>
        <w:rPr>
          <w:rFonts w:ascii="Times New Roman" w:eastAsia="仿宋_GB2312"/>
          <w:b/>
          <w:bCs/>
          <w:sz w:val="48"/>
          <w:szCs w:val="52"/>
        </w:rPr>
      </w:pPr>
      <w:r>
        <w:rPr>
          <w:rFonts w:hint="default" w:ascii="Times New Roman" w:hAnsi="Times New Roman" w:eastAsia="仿宋_GB2312" w:cs="Times New Roman"/>
          <w:b/>
          <w:bCs/>
          <w:color w:val="000000"/>
          <w:kern w:val="0"/>
          <w:sz w:val="48"/>
          <w:szCs w:val="52"/>
        </w:rPr>
        <w:t>联合研发课题</w:t>
      </w:r>
      <w:r>
        <w:rPr>
          <w:rFonts w:hint="default" w:ascii="Times New Roman" w:eastAsia="仿宋_GB2312"/>
          <w:b/>
          <w:bCs/>
          <w:sz w:val="48"/>
          <w:szCs w:val="52"/>
        </w:rPr>
        <w:t>指南</w:t>
      </w:r>
    </w:p>
    <w:p>
      <w:pPr>
        <w:widowControl/>
        <w:jc w:val="center"/>
        <w:rPr>
          <w:rFonts w:hint="default" w:ascii="Times New Roman" w:hAnsi="Times New Roman" w:eastAsia="仿宋_GB2312" w:cs="Times New Roman"/>
          <w:b/>
          <w:bCs/>
          <w:color w:val="000000"/>
          <w:kern w:val="0"/>
          <w:sz w:val="52"/>
          <w:szCs w:val="52"/>
        </w:rPr>
      </w:pPr>
    </w:p>
    <w:p>
      <w:pPr>
        <w:widowControl/>
        <w:jc w:val="center"/>
        <w:rPr>
          <w:rFonts w:ascii="Times New Roman" w:hAnsi="Times New Roman" w:eastAsia="仿宋_GB2312" w:cs="Times New Roman"/>
          <w:b/>
          <w:bCs/>
          <w:color w:val="000000"/>
          <w:kern w:val="0"/>
          <w:sz w:val="52"/>
          <w:szCs w:val="52"/>
        </w:rPr>
      </w:pPr>
    </w:p>
    <w:p>
      <w:pPr>
        <w:widowControl/>
        <w:numPr>
          <w:ilvl w:val="1"/>
          <w:numId w:val="0"/>
        </w:numPr>
        <w:tabs>
          <w:tab w:val="left" w:pos="0"/>
        </w:tabs>
        <w:autoSpaceDE/>
        <w:autoSpaceDN/>
        <w:adjustRightInd/>
        <w:spacing w:line="360" w:lineRule="auto"/>
        <w:ind w:right="-199"/>
        <w:jc w:val="center"/>
        <w:rPr>
          <w:rFonts w:hint="eastAsia" w:ascii="华文楷体" w:hAnsi="华文楷体" w:eastAsia="华文楷体" w:cs="ヒラギノ角ゴ Pro W3"/>
          <w:sz w:val="36"/>
          <w:szCs w:val="36"/>
          <w:lang w:eastAsia="zh-CN"/>
        </w:rPr>
      </w:pPr>
      <w:r>
        <w:rPr>
          <w:rFonts w:hint="eastAsia" w:ascii="华文楷体" w:hAnsi="华文楷体" w:eastAsia="华文楷体" w:cs="ヒラギノ角ゴ Pro W3"/>
          <w:sz w:val="36"/>
          <w:szCs w:val="36"/>
          <w:lang w:val="en-US" w:eastAsia="zh-CN"/>
        </w:rPr>
        <w:t>星地切换及星地融合业务模型研究</w:t>
      </w:r>
    </w:p>
    <w:p>
      <w:pPr>
        <w:widowControl/>
        <w:jc w:val="center"/>
        <w:rPr>
          <w:rFonts w:ascii="Times New Roman" w:hAnsi="Times New Roman" w:eastAsia="仿宋_GB2312" w:cs="Times New Roman"/>
          <w:b/>
          <w:bCs/>
          <w:color w:val="000000"/>
          <w:kern w:val="0"/>
          <w:sz w:val="44"/>
          <w:szCs w:val="44"/>
        </w:rPr>
      </w:pPr>
    </w:p>
    <w:p>
      <w:pPr>
        <w:widowControl/>
        <w:jc w:val="center"/>
        <w:rPr>
          <w:rFonts w:ascii="Times New Roman" w:hAnsi="Times New Roman" w:eastAsia="仿宋_GB2312" w:cs="Times New Roman"/>
          <w:b/>
          <w:bCs/>
          <w:color w:val="000000"/>
          <w:kern w:val="0"/>
          <w:sz w:val="44"/>
          <w:szCs w:val="44"/>
        </w:rPr>
      </w:pPr>
    </w:p>
    <w:p>
      <w:pPr>
        <w:widowControl/>
        <w:rPr>
          <w:rFonts w:ascii="Times New Roman" w:hAnsi="Times New Roman" w:eastAsia="仿宋_GB2312" w:cs="Times New Roman"/>
          <w:b/>
          <w:bCs/>
          <w:color w:val="000000"/>
          <w:kern w:val="0"/>
          <w:sz w:val="44"/>
          <w:szCs w:val="44"/>
        </w:rPr>
      </w:pPr>
    </w:p>
    <w:p>
      <w:pPr>
        <w:widowControl/>
        <w:rPr>
          <w:rFonts w:ascii="Times New Roman" w:hAnsi="Times New Roman" w:eastAsia="仿宋_GB2312" w:cs="Times New Roman"/>
          <w:b/>
          <w:bCs/>
          <w:color w:val="000000"/>
          <w:kern w:val="0"/>
          <w:sz w:val="36"/>
          <w:szCs w:val="36"/>
        </w:rPr>
      </w:pPr>
    </w:p>
    <w:p>
      <w:pPr>
        <w:widowControl/>
        <w:jc w:val="center"/>
        <w:rPr>
          <w:rFonts w:ascii="Times New Roman" w:hAnsi="Times New Roman" w:eastAsia="仿宋_GB2312" w:cs="Times New Roman"/>
          <w:b/>
          <w:bCs/>
          <w:color w:val="000000"/>
          <w:kern w:val="0"/>
          <w:sz w:val="36"/>
          <w:szCs w:val="36"/>
        </w:rPr>
      </w:pPr>
      <w:r>
        <w:rPr>
          <w:rFonts w:hint="default" w:ascii="Times New Roman" w:hAnsi="Times New Roman" w:eastAsia="仿宋_GB2312" w:cs="Times New Roman"/>
          <w:b/>
          <w:bCs/>
          <w:color w:val="000000"/>
          <w:kern w:val="0"/>
          <w:sz w:val="36"/>
          <w:szCs w:val="36"/>
        </w:rPr>
        <w:t>中国移动通信有限公司设计院</w:t>
      </w:r>
    </w:p>
    <w:p>
      <w:pPr>
        <w:widowControl/>
        <w:jc w:val="center"/>
        <w:rPr>
          <w:rFonts w:ascii="Times New Roman" w:hAnsi="Times New Roman" w:eastAsia="仿宋_GB2312" w:cs="Times New Roman"/>
          <w:b/>
          <w:bCs/>
          <w:color w:val="000000"/>
          <w:kern w:val="0"/>
          <w:sz w:val="36"/>
          <w:szCs w:val="36"/>
        </w:rPr>
      </w:pPr>
      <w:r>
        <w:rPr>
          <w:rFonts w:hint="default" w:ascii="Times New Roman" w:hAnsi="Times New Roman" w:eastAsia="仿宋_GB2312" w:cs="Times New Roman"/>
          <w:b/>
          <w:bCs/>
          <w:color w:val="000000"/>
          <w:kern w:val="0"/>
          <w:sz w:val="36"/>
          <w:szCs w:val="36"/>
        </w:rPr>
        <w:t>202</w:t>
      </w:r>
      <w:r>
        <w:rPr>
          <w:rFonts w:hint="eastAsia" w:eastAsia="仿宋_GB2312" w:cs="Times New Roman"/>
          <w:b/>
          <w:bCs/>
          <w:color w:val="000000"/>
          <w:kern w:val="0"/>
          <w:sz w:val="36"/>
          <w:szCs w:val="36"/>
          <w:lang w:val="en-US" w:eastAsia="zh-CN"/>
        </w:rPr>
        <w:t>4</w:t>
      </w:r>
      <w:r>
        <w:rPr>
          <w:rFonts w:hint="default" w:ascii="Times New Roman" w:hAnsi="Times New Roman" w:eastAsia="仿宋_GB2312" w:cs="Times New Roman"/>
          <w:b/>
          <w:bCs/>
          <w:color w:val="000000"/>
          <w:kern w:val="0"/>
          <w:sz w:val="36"/>
          <w:szCs w:val="36"/>
        </w:rPr>
        <w:t>年</w:t>
      </w:r>
      <w:r>
        <w:rPr>
          <w:rFonts w:hint="eastAsia" w:eastAsia="仿宋_GB2312" w:cs="Times New Roman"/>
          <w:b/>
          <w:bCs/>
          <w:color w:val="000000"/>
          <w:kern w:val="0"/>
          <w:sz w:val="36"/>
          <w:szCs w:val="36"/>
          <w:lang w:val="en-US" w:eastAsia="zh-CN"/>
        </w:rPr>
        <w:t>3</w:t>
      </w:r>
      <w:r>
        <w:rPr>
          <w:rFonts w:hint="default" w:ascii="Times New Roman" w:hAnsi="Times New Roman" w:eastAsia="仿宋_GB2312" w:cs="Times New Roman"/>
          <w:b/>
          <w:bCs/>
          <w:color w:val="000000"/>
          <w:kern w:val="0"/>
          <w:sz w:val="36"/>
          <w:szCs w:val="36"/>
        </w:rPr>
        <w:t>月</w:t>
      </w:r>
    </w:p>
    <w:p>
      <w:pPr>
        <w:widowControl/>
        <w:jc w:val="both"/>
        <w:rPr>
          <w:rFonts w:hint="default" w:ascii="Times New Roman" w:hAnsi="Times New Roman" w:eastAsia="仿宋_GB2312"/>
          <w:b/>
          <w:color w:val="C00000"/>
          <w:sz w:val="36"/>
        </w:rPr>
      </w:pPr>
    </w:p>
    <w:p>
      <w:pPr>
        <w:widowControl/>
        <w:jc w:val="center"/>
        <w:rPr>
          <w:rFonts w:hint="eastAsia" w:ascii="仿宋_GB2312" w:hAnsi="仿宋" w:eastAsia="仿宋_GB2312"/>
          <w:b/>
          <w:color w:val="C00000"/>
          <w:sz w:val="36"/>
        </w:rPr>
        <w:sectPr>
          <w:footerReference r:id="rId3" w:type="default"/>
          <w:pgSz w:w="11906" w:h="16838"/>
          <w:pgMar w:top="1361" w:right="1797" w:bottom="1361" w:left="1797" w:header="851" w:footer="992" w:gutter="0"/>
          <w:pgNumType w:start="1"/>
          <w:cols w:space="720" w:num="1"/>
          <w:docGrid w:type="lines" w:linePitch="312" w:charSpace="0"/>
        </w:sectPr>
      </w:pPr>
    </w:p>
    <w:p>
      <w:pPr>
        <w:pStyle w:val="2"/>
        <w:rPr>
          <w:rFonts w:ascii="Times New Roman" w:hAnsi="Times New Roman" w:eastAsia="仿宋_GB2312"/>
          <w:b/>
          <w:sz w:val="36"/>
        </w:rPr>
      </w:pPr>
      <w:r>
        <w:rPr>
          <w:rFonts w:hint="eastAsia" w:ascii="Times New Roman" w:hAnsi="Times New Roman"/>
        </w:rPr>
        <w:t>课题基本信息</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1772"/>
        <w:gridCol w:w="5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3" w:type="pct"/>
            <w:gridSpan w:val="2"/>
            <w:vAlign w:val="center"/>
          </w:tcPr>
          <w:p>
            <w:pPr>
              <w:spacing w:line="360" w:lineRule="auto"/>
              <w:jc w:val="center"/>
              <w:rPr>
                <w:rFonts w:ascii="宋体" w:hAnsi="宋体" w:eastAsia="宋体" w:cs="Times New Roman"/>
                <w:color w:val="000000"/>
                <w:position w:val="6"/>
                <w:sz w:val="24"/>
                <w:szCs w:val="21"/>
              </w:rPr>
            </w:pPr>
            <w:r>
              <w:rPr>
                <w:rFonts w:hint="default" w:ascii="宋体" w:hAnsi="宋体" w:eastAsia="宋体" w:cs="Times New Roman"/>
                <w:color w:val="000000"/>
                <w:position w:val="6"/>
                <w:sz w:val="24"/>
                <w:szCs w:val="21"/>
              </w:rPr>
              <w:t>课题名称</w:t>
            </w:r>
          </w:p>
        </w:tc>
        <w:tc>
          <w:tcPr>
            <w:tcW w:w="3357" w:type="pct"/>
            <w:vAlign w:val="center"/>
          </w:tcPr>
          <w:p>
            <w:pPr>
              <w:widowControl/>
              <w:spacing w:line="360" w:lineRule="auto"/>
              <w:jc w:val="center"/>
              <w:rPr>
                <w:rFonts w:ascii="宋体" w:hAnsi="宋体" w:eastAsia="宋体" w:cs="Times New Roman"/>
                <w:color w:val="000000"/>
                <w:kern w:val="0"/>
                <w:position w:val="6"/>
                <w:sz w:val="24"/>
                <w:szCs w:val="21"/>
              </w:rPr>
            </w:pPr>
            <w:r>
              <w:rPr>
                <w:rFonts w:hint="eastAsia" w:ascii="宋体" w:hAnsi="宋体" w:eastAsia="宋体" w:cs="Times New Roman"/>
                <w:color w:val="000000"/>
                <w:kern w:val="0"/>
                <w:position w:val="6"/>
                <w:sz w:val="24"/>
                <w:szCs w:val="21"/>
              </w:rPr>
              <w:t>星地切换及星地融合业务模型研究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43" w:type="pct"/>
            <w:gridSpan w:val="2"/>
            <w:vAlign w:val="center"/>
          </w:tcPr>
          <w:p>
            <w:pPr>
              <w:spacing w:line="360" w:lineRule="auto"/>
              <w:jc w:val="center"/>
              <w:rPr>
                <w:rFonts w:ascii="宋体" w:hAnsi="宋体" w:eastAsia="宋体" w:cs="Times New Roman"/>
                <w:color w:val="000000"/>
                <w:position w:val="6"/>
                <w:sz w:val="24"/>
                <w:szCs w:val="21"/>
              </w:rPr>
            </w:pPr>
            <w:r>
              <w:rPr>
                <w:rFonts w:hint="default" w:ascii="宋体" w:hAnsi="宋体" w:eastAsia="宋体" w:cs="Times New Roman"/>
                <w:color w:val="000000"/>
                <w:position w:val="6"/>
                <w:sz w:val="24"/>
                <w:szCs w:val="21"/>
              </w:rPr>
              <w:t>课题周期</w:t>
            </w:r>
          </w:p>
        </w:tc>
        <w:tc>
          <w:tcPr>
            <w:tcW w:w="3357" w:type="pct"/>
            <w:vAlign w:val="center"/>
          </w:tcPr>
          <w:p>
            <w:pPr>
              <w:spacing w:line="360" w:lineRule="auto"/>
              <w:ind w:firstLine="0" w:firstLineChars="0"/>
              <w:jc w:val="center"/>
              <w:rPr>
                <w:rFonts w:ascii="宋体" w:hAnsi="宋体" w:eastAsia="宋体" w:cs="Times New Roman"/>
                <w:color w:val="000000"/>
                <w:position w:val="6"/>
                <w:sz w:val="24"/>
                <w:szCs w:val="21"/>
              </w:rPr>
            </w:pPr>
            <w:r>
              <w:rPr>
                <w:rFonts w:hint="eastAsia" w:ascii="宋体" w:hAnsi="宋体" w:eastAsia="宋体" w:cs="Times New Roman"/>
                <w:color w:val="000000"/>
                <w:position w:val="6"/>
                <w:sz w:val="24"/>
                <w:szCs w:val="21"/>
                <w:lang w:val="en-US" w:eastAsia="zh-CN"/>
              </w:rPr>
              <w:t>1</w:t>
            </w:r>
            <w:r>
              <w:rPr>
                <w:rFonts w:hint="default" w:ascii="宋体" w:hAnsi="宋体" w:eastAsia="宋体" w:cs="Times New Roman"/>
                <w:color w:val="000000"/>
                <w:position w:val="6"/>
                <w:sz w:val="24"/>
                <w:szCs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1643" w:type="pct"/>
            <w:gridSpan w:val="2"/>
            <w:vAlign w:val="center"/>
          </w:tcPr>
          <w:p>
            <w:pPr>
              <w:spacing w:line="360" w:lineRule="auto"/>
              <w:jc w:val="center"/>
              <w:rPr>
                <w:rFonts w:ascii="宋体" w:hAnsi="宋体" w:eastAsia="宋体" w:cs="Times New Roman"/>
                <w:color w:val="000000"/>
                <w:position w:val="6"/>
                <w:sz w:val="24"/>
                <w:szCs w:val="21"/>
              </w:rPr>
            </w:pPr>
            <w:r>
              <w:rPr>
                <w:rFonts w:hint="default" w:ascii="宋体" w:hAnsi="宋体" w:eastAsia="宋体" w:cs="Times New Roman"/>
                <w:color w:val="000000"/>
                <w:position w:val="6"/>
                <w:sz w:val="24"/>
                <w:szCs w:val="21"/>
              </w:rPr>
              <w:t>预期成果类型</w:t>
            </w:r>
          </w:p>
        </w:tc>
        <w:tc>
          <w:tcPr>
            <w:tcW w:w="3357" w:type="pct"/>
            <w:vAlign w:val="center"/>
          </w:tcPr>
          <w:p>
            <w:pPr>
              <w:spacing w:line="360" w:lineRule="auto"/>
              <w:rPr>
                <w:rFonts w:ascii="宋体" w:hAnsi="宋体" w:eastAsia="宋体" w:cs="Times New Roman"/>
                <w:color w:val="auto"/>
                <w:position w:val="6"/>
                <w:sz w:val="24"/>
                <w:szCs w:val="21"/>
              </w:rPr>
            </w:pPr>
            <w:r>
              <w:rPr>
                <w:rFonts w:hint="default" w:ascii="宋体" w:hAnsi="宋体" w:eastAsia="宋体" w:cs="Times New Roman"/>
                <w:color w:val="auto"/>
                <w:position w:val="6"/>
                <w:sz w:val="24"/>
                <w:szCs w:val="21"/>
              </w:rPr>
              <w:sym w:font="Wingdings 2" w:char="0052"/>
            </w:r>
            <w:r>
              <w:rPr>
                <w:rFonts w:hint="default" w:ascii="宋体" w:hAnsi="宋体" w:eastAsia="宋体" w:cs="Times New Roman"/>
                <w:color w:val="auto"/>
                <w:position w:val="6"/>
                <w:sz w:val="24"/>
                <w:szCs w:val="21"/>
              </w:rPr>
              <w:t xml:space="preserve">专利  □技术标准  □新产品 </w:t>
            </w:r>
            <w:r>
              <w:rPr>
                <w:rFonts w:hint="default" w:ascii="宋体" w:hAnsi="宋体" w:eastAsia="宋体" w:cs="Times New Roman"/>
                <w:color w:val="auto"/>
                <w:position w:val="6"/>
                <w:sz w:val="24"/>
                <w:szCs w:val="21"/>
              </w:rPr>
              <w:sym w:font="Wingdings 2" w:char="00A3"/>
            </w:r>
            <w:r>
              <w:rPr>
                <w:rFonts w:hint="default" w:ascii="宋体" w:hAnsi="宋体" w:eastAsia="宋体" w:cs="Times New Roman"/>
                <w:color w:val="auto"/>
                <w:position w:val="6"/>
                <w:sz w:val="24"/>
                <w:szCs w:val="21"/>
              </w:rPr>
              <w:t>新工艺</w:t>
            </w:r>
          </w:p>
          <w:p>
            <w:pPr>
              <w:spacing w:line="360" w:lineRule="auto"/>
              <w:rPr>
                <w:rFonts w:ascii="宋体" w:hAnsi="宋体" w:eastAsia="宋体" w:cs="Times New Roman"/>
                <w:color w:val="auto"/>
                <w:position w:val="6"/>
                <w:sz w:val="24"/>
                <w:szCs w:val="21"/>
              </w:rPr>
            </w:pPr>
            <w:r>
              <w:rPr>
                <w:rFonts w:hint="default" w:ascii="宋体" w:hAnsi="宋体" w:eastAsia="宋体" w:cs="Times New Roman"/>
                <w:color w:val="auto"/>
                <w:position w:val="6"/>
                <w:sz w:val="24"/>
                <w:szCs w:val="21"/>
              </w:rPr>
              <w:t xml:space="preserve">□新装置 □新材料 </w:t>
            </w:r>
            <w:r>
              <w:rPr>
                <w:rFonts w:hint="default" w:ascii="宋体" w:hAnsi="宋体" w:eastAsia="宋体" w:cs="Times New Roman"/>
                <w:color w:val="auto"/>
                <w:position w:val="6"/>
                <w:sz w:val="24"/>
                <w:szCs w:val="21"/>
              </w:rPr>
              <w:sym w:font="Wingdings 2" w:char="00A3"/>
            </w:r>
            <w:r>
              <w:rPr>
                <w:rFonts w:hint="default" w:ascii="宋体" w:hAnsi="宋体" w:eastAsia="宋体" w:cs="Times New Roman"/>
                <w:color w:val="auto"/>
                <w:position w:val="6"/>
                <w:sz w:val="24"/>
                <w:szCs w:val="21"/>
              </w:rPr>
              <w:t xml:space="preserve">软件平台或硬件原型 </w:t>
            </w:r>
            <w:r>
              <w:rPr>
                <w:rFonts w:hint="default" w:ascii="宋体" w:hAnsi="宋体" w:eastAsia="宋体" w:cs="Times New Roman"/>
                <w:color w:val="auto"/>
                <w:position w:val="6"/>
                <w:sz w:val="24"/>
                <w:szCs w:val="21"/>
              </w:rPr>
              <w:sym w:font="Wingdings 2" w:char="0052"/>
            </w:r>
            <w:r>
              <w:rPr>
                <w:rFonts w:hint="default" w:ascii="宋体" w:hAnsi="宋体" w:eastAsia="宋体" w:cs="Times New Roman"/>
                <w:color w:val="auto"/>
                <w:position w:val="6"/>
                <w:sz w:val="24"/>
                <w:szCs w:val="21"/>
              </w:rPr>
              <w:t xml:space="preserve">论文论著 </w:t>
            </w:r>
            <w:r>
              <w:rPr>
                <w:rFonts w:hint="default" w:ascii="宋体" w:hAnsi="宋体" w:eastAsia="宋体" w:cs="Times New Roman"/>
                <w:color w:val="auto"/>
                <w:position w:val="6"/>
                <w:sz w:val="24"/>
                <w:szCs w:val="21"/>
              </w:rPr>
              <w:sym w:font="Wingdings 2" w:char="0052"/>
            </w:r>
            <w:r>
              <w:rPr>
                <w:rFonts w:hint="default" w:ascii="宋体" w:hAnsi="宋体" w:eastAsia="宋体" w:cs="Times New Roman"/>
                <w:color w:val="auto"/>
                <w:position w:val="6"/>
                <w:sz w:val="24"/>
                <w:szCs w:val="21"/>
              </w:rPr>
              <w:t>研究报告 □其他</w:t>
            </w:r>
            <w:r>
              <w:rPr>
                <w:rFonts w:hint="default" w:ascii="宋体" w:hAnsi="宋体" w:eastAsia="宋体" w:cs="Times New Roman"/>
                <w:color w:val="auto"/>
                <w:position w:val="6"/>
                <w:sz w:val="24"/>
                <w:szCs w:val="21"/>
                <w:u w:val="none"/>
              </w:rPr>
              <w:t>（ 填写具体内容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04" w:type="pct"/>
            <w:vMerge w:val="restart"/>
            <w:vAlign w:val="center"/>
          </w:tcPr>
          <w:p>
            <w:pPr>
              <w:spacing w:line="360" w:lineRule="auto"/>
              <w:rPr>
                <w:rFonts w:ascii="宋体" w:hAnsi="宋体" w:eastAsia="宋体" w:cs="Times New Roman"/>
                <w:color w:val="000000"/>
                <w:position w:val="6"/>
                <w:sz w:val="24"/>
                <w:szCs w:val="21"/>
              </w:rPr>
            </w:pPr>
            <w:r>
              <w:rPr>
                <w:rFonts w:hint="default" w:ascii="宋体" w:hAnsi="宋体" w:eastAsia="宋体" w:cs="Times New Roman"/>
                <w:color w:val="000000"/>
                <w:position w:val="6"/>
                <w:sz w:val="24"/>
                <w:szCs w:val="21"/>
              </w:rPr>
              <w:t>需求部门与课题负责人信息</w:t>
            </w:r>
          </w:p>
        </w:tc>
        <w:tc>
          <w:tcPr>
            <w:tcW w:w="1039" w:type="pct"/>
            <w:vAlign w:val="center"/>
          </w:tcPr>
          <w:p>
            <w:pPr>
              <w:spacing w:line="360" w:lineRule="auto"/>
              <w:jc w:val="center"/>
              <w:rPr>
                <w:rFonts w:ascii="宋体" w:hAnsi="宋体" w:eastAsia="宋体" w:cs="Times New Roman"/>
                <w:position w:val="6"/>
                <w:sz w:val="24"/>
                <w:szCs w:val="21"/>
              </w:rPr>
            </w:pPr>
            <w:r>
              <w:rPr>
                <w:rFonts w:hint="default" w:ascii="宋体" w:hAnsi="宋体" w:eastAsia="宋体" w:cs="Times New Roman"/>
                <w:position w:val="6"/>
                <w:sz w:val="24"/>
                <w:szCs w:val="21"/>
              </w:rPr>
              <w:t>需求部门名称</w:t>
            </w:r>
          </w:p>
        </w:tc>
        <w:tc>
          <w:tcPr>
            <w:tcW w:w="3357" w:type="pct"/>
            <w:vAlign w:val="center"/>
          </w:tcPr>
          <w:p>
            <w:pPr>
              <w:spacing w:line="360" w:lineRule="auto"/>
              <w:jc w:val="center"/>
              <w:rPr>
                <w:rFonts w:hint="eastAsia" w:ascii="宋体" w:hAnsi="宋体" w:eastAsia="宋体" w:cs="Times New Roman"/>
                <w:position w:val="6"/>
                <w:sz w:val="24"/>
                <w:szCs w:val="21"/>
                <w:lang w:val="en-US" w:eastAsia="zh-CN"/>
              </w:rPr>
            </w:pPr>
            <w:r>
              <w:rPr>
                <w:rFonts w:hint="eastAsia" w:ascii="宋体" w:hAnsi="宋体" w:eastAsia="宋体" w:cs="Times New Roman"/>
                <w:position w:val="6"/>
                <w:sz w:val="24"/>
                <w:szCs w:val="21"/>
                <w:lang w:val="en-US" w:eastAsia="zh-CN"/>
              </w:rPr>
              <w:t>移动设计院-无线所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04" w:type="pct"/>
            <w:vMerge w:val="continue"/>
            <w:vAlign w:val="center"/>
          </w:tcPr>
          <w:p>
            <w:pPr>
              <w:spacing w:line="360" w:lineRule="auto"/>
              <w:rPr>
                <w:rFonts w:ascii="宋体" w:hAnsi="宋体" w:eastAsia="宋体" w:cs="Times New Roman"/>
                <w:color w:val="000000"/>
                <w:position w:val="6"/>
                <w:sz w:val="24"/>
                <w:szCs w:val="21"/>
              </w:rPr>
            </w:pPr>
          </w:p>
        </w:tc>
        <w:tc>
          <w:tcPr>
            <w:tcW w:w="1039" w:type="pct"/>
            <w:vAlign w:val="center"/>
          </w:tcPr>
          <w:p>
            <w:pPr>
              <w:spacing w:line="360" w:lineRule="auto"/>
              <w:jc w:val="center"/>
              <w:rPr>
                <w:rFonts w:ascii="宋体" w:hAnsi="宋体" w:eastAsia="宋体" w:cs="Times New Roman"/>
                <w:position w:val="6"/>
                <w:sz w:val="24"/>
                <w:szCs w:val="21"/>
              </w:rPr>
            </w:pPr>
            <w:r>
              <w:rPr>
                <w:rFonts w:hint="default" w:ascii="宋体" w:hAnsi="宋体" w:eastAsia="宋体" w:cs="Times New Roman"/>
                <w:position w:val="6"/>
                <w:sz w:val="24"/>
                <w:szCs w:val="21"/>
              </w:rPr>
              <w:t>课题负责人</w:t>
            </w:r>
          </w:p>
        </w:tc>
        <w:tc>
          <w:tcPr>
            <w:tcW w:w="3357" w:type="pct"/>
            <w:vAlign w:val="center"/>
          </w:tcPr>
          <w:p>
            <w:pPr>
              <w:spacing w:line="360" w:lineRule="auto"/>
              <w:jc w:val="center"/>
              <w:rPr>
                <w:rFonts w:hint="eastAsia" w:ascii="宋体" w:hAnsi="宋体" w:eastAsia="宋体" w:cs="Times New Roman"/>
                <w:position w:val="6"/>
                <w:sz w:val="24"/>
                <w:szCs w:val="21"/>
                <w:lang w:val="en-US" w:eastAsia="zh-CN"/>
              </w:rPr>
            </w:pPr>
            <w:r>
              <w:rPr>
                <w:rFonts w:hint="eastAsia" w:ascii="宋体" w:hAnsi="宋体" w:eastAsia="宋体" w:cs="Times New Roman"/>
                <w:position w:val="6"/>
                <w:sz w:val="24"/>
                <w:szCs w:val="21"/>
                <w:lang w:val="en-US" w:eastAsia="zh-CN"/>
              </w:rPr>
              <w:t>曹天洋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04" w:type="pct"/>
            <w:vMerge w:val="continue"/>
            <w:vAlign w:val="center"/>
          </w:tcPr>
          <w:p>
            <w:pPr>
              <w:spacing w:line="360" w:lineRule="auto"/>
              <w:rPr>
                <w:rFonts w:ascii="宋体" w:hAnsi="宋体" w:eastAsia="宋体" w:cs="Times New Roman"/>
                <w:color w:val="000000"/>
                <w:position w:val="6"/>
                <w:sz w:val="24"/>
                <w:szCs w:val="21"/>
              </w:rPr>
            </w:pPr>
          </w:p>
        </w:tc>
        <w:tc>
          <w:tcPr>
            <w:tcW w:w="1039" w:type="pct"/>
            <w:vAlign w:val="center"/>
          </w:tcPr>
          <w:p>
            <w:pPr>
              <w:spacing w:line="360" w:lineRule="auto"/>
              <w:jc w:val="center"/>
              <w:rPr>
                <w:rFonts w:ascii="宋体" w:hAnsi="宋体" w:eastAsia="宋体" w:cs="Times New Roman"/>
                <w:position w:val="6"/>
                <w:sz w:val="24"/>
                <w:szCs w:val="21"/>
              </w:rPr>
            </w:pPr>
            <w:r>
              <w:rPr>
                <w:rFonts w:hint="default" w:ascii="宋体" w:hAnsi="宋体" w:eastAsia="宋体" w:cs="Times New Roman"/>
                <w:position w:val="6"/>
                <w:sz w:val="24"/>
                <w:szCs w:val="21"/>
              </w:rPr>
              <w:t>联系电话</w:t>
            </w:r>
          </w:p>
        </w:tc>
        <w:tc>
          <w:tcPr>
            <w:tcW w:w="3357" w:type="pct"/>
            <w:vAlign w:val="center"/>
          </w:tcPr>
          <w:p>
            <w:pPr>
              <w:spacing w:line="360" w:lineRule="auto"/>
              <w:jc w:val="center"/>
              <w:rPr>
                <w:rFonts w:hint="default" w:ascii="宋体" w:hAnsi="宋体" w:eastAsia="宋体" w:cs="Times New Roman"/>
                <w:position w:val="6"/>
                <w:sz w:val="24"/>
                <w:szCs w:val="21"/>
                <w:lang w:val="en-US"/>
              </w:rPr>
            </w:pPr>
            <w:r>
              <w:rPr>
                <w:rFonts w:hint="default" w:ascii="宋体" w:hAnsi="宋体" w:eastAsia="宋体" w:cs="Times New Roman"/>
                <w:position w:val="6"/>
                <w:sz w:val="24"/>
                <w:szCs w:val="21"/>
                <w:lang w:val="en-US"/>
              </w:rPr>
              <w:t>13811988845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04" w:type="pct"/>
            <w:vMerge w:val="continue"/>
            <w:vAlign w:val="center"/>
          </w:tcPr>
          <w:p>
            <w:pPr>
              <w:spacing w:line="360" w:lineRule="auto"/>
              <w:rPr>
                <w:rFonts w:ascii="宋体" w:hAnsi="宋体" w:eastAsia="宋体" w:cs="Times New Roman"/>
                <w:color w:val="000000"/>
                <w:position w:val="6"/>
                <w:sz w:val="24"/>
                <w:szCs w:val="21"/>
              </w:rPr>
            </w:pPr>
          </w:p>
        </w:tc>
        <w:tc>
          <w:tcPr>
            <w:tcW w:w="1039" w:type="pct"/>
            <w:vAlign w:val="center"/>
          </w:tcPr>
          <w:p>
            <w:pPr>
              <w:spacing w:line="360" w:lineRule="auto"/>
              <w:jc w:val="center"/>
              <w:rPr>
                <w:rFonts w:ascii="宋体" w:hAnsi="宋体" w:eastAsia="宋体" w:cs="Times New Roman"/>
                <w:position w:val="6"/>
                <w:sz w:val="24"/>
                <w:szCs w:val="21"/>
              </w:rPr>
            </w:pPr>
            <w:r>
              <w:rPr>
                <w:rFonts w:hint="default" w:ascii="宋体" w:hAnsi="宋体" w:eastAsia="宋体" w:cs="Times New Roman"/>
                <w:position w:val="6"/>
                <w:sz w:val="24"/>
                <w:szCs w:val="21"/>
              </w:rPr>
              <w:t>电子信箱</w:t>
            </w:r>
          </w:p>
        </w:tc>
        <w:tc>
          <w:tcPr>
            <w:tcW w:w="3357" w:type="pct"/>
            <w:vAlign w:val="center"/>
          </w:tcPr>
          <w:p>
            <w:pPr>
              <w:spacing w:line="360" w:lineRule="auto"/>
              <w:jc w:val="center"/>
              <w:rPr>
                <w:rFonts w:hint="default" w:ascii="宋体" w:hAnsi="宋体" w:eastAsia="宋体" w:cs="Times New Roman"/>
                <w:position w:val="6"/>
                <w:sz w:val="24"/>
                <w:szCs w:val="21"/>
                <w:lang w:val="en-US"/>
              </w:rPr>
            </w:pPr>
            <w:r>
              <w:rPr>
                <w:rFonts w:hint="eastAsia" w:ascii="宋体" w:hAnsi="宋体" w:eastAsia="宋体" w:cs="Times New Roman"/>
                <w:position w:val="6"/>
                <w:sz w:val="24"/>
                <w:szCs w:val="21"/>
                <w:lang w:val="en-US" w:eastAsia="zh-CN"/>
              </w:rPr>
              <w:t>c</w:t>
            </w:r>
            <w:r>
              <w:rPr>
                <w:rFonts w:hint="default" w:ascii="宋体" w:hAnsi="宋体" w:eastAsia="宋体" w:cs="Times New Roman"/>
                <w:position w:val="6"/>
                <w:sz w:val="24"/>
                <w:szCs w:val="21"/>
                <w:lang w:val="en-US"/>
              </w:rPr>
              <w:t>aotianyang@cmdi.chinamobile.com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43" w:type="pct"/>
            <w:gridSpan w:val="2"/>
            <w:vAlign w:val="center"/>
          </w:tcPr>
          <w:p>
            <w:pPr>
              <w:spacing w:line="360" w:lineRule="auto"/>
              <w:jc w:val="center"/>
              <w:rPr>
                <w:rFonts w:ascii="宋体" w:hAnsi="宋体" w:eastAsia="宋体" w:cs="Times New Roman"/>
                <w:color w:val="000000"/>
                <w:position w:val="6"/>
                <w:sz w:val="24"/>
                <w:szCs w:val="21"/>
              </w:rPr>
            </w:pPr>
            <w:r>
              <w:rPr>
                <w:rFonts w:hint="default" w:ascii="宋体" w:hAnsi="宋体" w:eastAsia="宋体" w:cs="Times New Roman"/>
                <w:color w:val="000000"/>
                <w:position w:val="6"/>
                <w:sz w:val="24"/>
                <w:szCs w:val="21"/>
              </w:rPr>
              <w:t>类别</w:t>
            </w:r>
          </w:p>
        </w:tc>
        <w:tc>
          <w:tcPr>
            <w:tcW w:w="3357" w:type="pct"/>
            <w:vAlign w:val="center"/>
          </w:tcPr>
          <w:p>
            <w:pPr>
              <w:spacing w:line="360" w:lineRule="auto"/>
              <w:rPr>
                <w:rFonts w:ascii="宋体" w:hAnsi="宋体" w:eastAsia="宋体" w:cs="Times New Roman"/>
                <w:color w:val="000000"/>
                <w:position w:val="6"/>
                <w:sz w:val="24"/>
                <w:szCs w:val="21"/>
              </w:rPr>
            </w:pPr>
            <w:r>
              <w:rPr>
                <w:rFonts w:hint="default" w:ascii="宋体" w:hAnsi="宋体" w:eastAsia="宋体" w:cs="Times New Roman"/>
                <w:color w:val="000000"/>
                <w:position w:val="6"/>
                <w:sz w:val="24"/>
                <w:szCs w:val="21"/>
              </w:rPr>
              <w:t xml:space="preserve">□核心技术攻关     </w:t>
            </w:r>
            <w:r>
              <w:rPr>
                <w:rFonts w:hint="default" w:ascii="宋体" w:hAnsi="宋体" w:eastAsia="宋体" w:cs="Times New Roman"/>
                <w:color w:val="000000"/>
                <w:position w:val="6"/>
                <w:sz w:val="24"/>
                <w:szCs w:val="21"/>
              </w:rPr>
              <w:sym w:font="Wingdings 2" w:char="0052"/>
            </w:r>
            <w:r>
              <w:rPr>
                <w:rFonts w:hint="default" w:ascii="宋体" w:hAnsi="宋体" w:eastAsia="宋体" w:cs="Times New Roman"/>
                <w:color w:val="000000"/>
                <w:position w:val="6"/>
                <w:sz w:val="24"/>
                <w:szCs w:val="21"/>
              </w:rPr>
              <w:t xml:space="preserve"> 应用基础研究     □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4" w:hRule="atLeast"/>
        </w:trPr>
        <w:tc>
          <w:tcPr>
            <w:tcW w:w="1643"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Times New Roman"/>
                <w:color w:val="000000"/>
                <w:position w:val="6"/>
                <w:sz w:val="24"/>
                <w:szCs w:val="21"/>
              </w:rPr>
            </w:pPr>
            <w:r>
              <w:rPr>
                <w:rFonts w:hint="default" w:ascii="宋体" w:hAnsi="宋体" w:eastAsia="宋体" w:cs="Times New Roman"/>
                <w:color w:val="000000"/>
                <w:position w:val="6"/>
                <w:sz w:val="24"/>
                <w:szCs w:val="21"/>
              </w:rPr>
              <w:t>课题主要研究内容(200字以内)</w:t>
            </w:r>
          </w:p>
        </w:tc>
        <w:tc>
          <w:tcPr>
            <w:tcW w:w="3357" w:type="pct"/>
            <w:tcBorders>
              <w:top w:val="single" w:color="auto" w:sz="4" w:space="0"/>
              <w:left w:val="single" w:color="auto" w:sz="4" w:space="0"/>
              <w:bottom w:val="single" w:color="auto" w:sz="4" w:space="0"/>
              <w:right w:val="single" w:color="auto" w:sz="4" w:space="0"/>
            </w:tcBorders>
            <w:vAlign w:val="center"/>
          </w:tcPr>
          <w:p>
            <w:pPr>
              <w:numPr>
                <w:ilvl w:val="1"/>
                <w:numId w:val="2"/>
              </w:numPr>
              <w:tabs>
                <w:tab w:val="left" w:pos="315"/>
                <w:tab w:val="clear" w:pos="1440"/>
              </w:tabs>
              <w:snapToGrid w:val="0"/>
              <w:spacing w:line="360" w:lineRule="auto"/>
              <w:ind w:left="315" w:hanging="283"/>
              <w:rPr>
                <w:rFonts w:hint="eastAsia"/>
              </w:rPr>
            </w:pPr>
            <w:r>
              <w:rPr>
                <w:rFonts w:hint="eastAsia"/>
                <w:b/>
                <w:bCs/>
                <w:lang w:val="en-US" w:eastAsia="zh-CN"/>
              </w:rPr>
              <w:t>星地融合组网切换</w:t>
            </w:r>
            <w:r>
              <w:rPr>
                <w:rFonts w:hint="eastAsia"/>
                <w:lang w:val="en-US" w:eastAsia="zh-CN"/>
              </w:rPr>
              <w:t>：研究3GPP NTN的星地融合协同组网切换策略，结合不同切换场景和CHO、群组切</w:t>
            </w:r>
            <w:bookmarkStart w:id="0" w:name="_GoBack"/>
            <w:bookmarkEnd w:id="0"/>
            <w:r>
              <w:rPr>
                <w:rFonts w:hint="eastAsia"/>
                <w:lang w:val="en-US" w:eastAsia="zh-CN"/>
              </w:rPr>
              <w:t>换等切换技术，设计NTN融合网络切换流程和高效切换策略算法，并将二者结合实现融合网络高效一体化切换。</w:t>
            </w:r>
          </w:p>
          <w:p>
            <w:pPr>
              <w:numPr>
                <w:ilvl w:val="1"/>
                <w:numId w:val="2"/>
              </w:numPr>
              <w:tabs>
                <w:tab w:val="left" w:pos="315"/>
                <w:tab w:val="clear" w:pos="1440"/>
              </w:tabs>
              <w:snapToGrid w:val="0"/>
              <w:spacing w:line="360" w:lineRule="auto"/>
              <w:ind w:left="315" w:hanging="283"/>
              <w:rPr>
                <w:rFonts w:ascii="宋体" w:hAnsi="宋体" w:eastAsia="宋体" w:cs="Times New Roman"/>
                <w:color w:val="000000"/>
                <w:position w:val="6"/>
                <w:sz w:val="24"/>
                <w:szCs w:val="21"/>
              </w:rPr>
            </w:pPr>
            <w:r>
              <w:rPr>
                <w:rFonts w:hint="eastAsia"/>
                <w:b/>
                <w:bCs/>
              </w:rPr>
              <w:t>星地融合组网端到端业务流量模型研究</w:t>
            </w:r>
            <w:r>
              <w:rPr>
                <w:rFonts w:hint="eastAsia"/>
                <w:b/>
                <w:bCs/>
                <w:lang w:eastAsia="zh-CN"/>
              </w:rPr>
              <w:t>：</w:t>
            </w:r>
            <w:r>
              <w:rPr>
                <w:rFonts w:hint="eastAsia"/>
              </w:rPr>
              <w:t>面对6G泛在网络愿景，针对</w:t>
            </w:r>
            <w:r>
              <w:rPr>
                <w:rFonts w:hint="eastAsia"/>
                <w:lang w:val="en-US" w:eastAsia="zh-CN"/>
              </w:rPr>
              <w:t>高</w:t>
            </w:r>
            <w:r>
              <w:rPr>
                <w:rFonts w:hint="eastAsia"/>
              </w:rPr>
              <w:t>低轨卫星与蜂窝一体化组网场景下eMBB、mMTC和uR</w:t>
            </w:r>
            <w:r>
              <w:rPr>
                <w:rFonts w:hint="eastAsia"/>
                <w:lang w:val="en-US" w:eastAsia="zh-CN"/>
              </w:rPr>
              <w:t>L</w:t>
            </w:r>
            <w:r>
              <w:rPr>
                <w:rFonts w:hint="eastAsia"/>
              </w:rPr>
              <w:t>LC业务，研究单用户和多用户传输的业务流量模型，</w:t>
            </w:r>
            <w:r>
              <w:rPr>
                <w:rFonts w:hint="eastAsia"/>
                <w:lang w:val="en-US" w:eastAsia="zh-CN"/>
              </w:rPr>
              <w:t>研究天地一体网络利用率，</w:t>
            </w:r>
            <w:r>
              <w:rPr>
                <w:rFonts w:hint="eastAsia"/>
              </w:rPr>
              <w:t>为接入网、承载网和核心网的规划和协议设计提供理论基础。</w:t>
            </w:r>
          </w:p>
        </w:tc>
      </w:tr>
    </w:tbl>
    <w:p>
      <w:pPr>
        <w:pStyle w:val="2"/>
        <w:rPr>
          <w:rFonts w:hint="eastAsia" w:ascii="Times New Roman" w:hAnsi="Times New Roman"/>
        </w:rPr>
      </w:pPr>
      <w:r>
        <w:rPr>
          <w:rFonts w:hint="eastAsia" w:ascii="Times New Roman" w:hAnsi="Times New Roman"/>
        </w:rPr>
        <w:t>课题研究背景与意义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2" w:firstLineChars="200"/>
        <w:textAlignment w:val="auto"/>
        <w:outlineLvl w:val="9"/>
        <w:rPr>
          <w:rFonts w:hint="eastAsia" w:ascii="仿宋" w:hAnsi="仿宋" w:eastAsia="仿宋" w:cs="仿宋"/>
          <w:b/>
          <w:bCs w:val="0"/>
          <w:color w:val="auto"/>
          <w:kern w:val="2"/>
          <w:sz w:val="24"/>
          <w:szCs w:val="24"/>
          <w:lang w:val="en-US" w:eastAsia="zh-CN" w:bidi="ar-SA"/>
        </w:rPr>
      </w:pPr>
      <w:r>
        <w:rPr>
          <w:rFonts w:hint="eastAsia" w:ascii="仿宋" w:hAnsi="仿宋" w:eastAsia="仿宋" w:cs="仿宋"/>
          <w:b/>
          <w:bCs w:val="0"/>
          <w:color w:val="auto"/>
          <w:kern w:val="2"/>
          <w:sz w:val="24"/>
          <w:szCs w:val="24"/>
          <w:lang w:val="en-US" w:eastAsia="zh-CN" w:bidi="ar-SA"/>
        </w:rPr>
        <w:t>研究背景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outlineLvl w:val="9"/>
        <w:rPr>
          <w:rFonts w:hint="eastAsia" w:ascii="仿宋" w:eastAsia="仿宋" w:cs="仿宋"/>
          <w:b w:val="0"/>
          <w:bCs/>
          <w:color w:val="auto"/>
          <w:kern w:val="2"/>
          <w:sz w:val="24"/>
          <w:szCs w:val="24"/>
          <w:lang w:val="en-US" w:eastAsia="zh-CN" w:bidi="ar-SA"/>
        </w:rPr>
      </w:pPr>
      <w:r>
        <w:rPr>
          <w:rFonts w:hint="eastAsia" w:ascii="仿宋" w:eastAsia="仿宋" w:cs="仿宋"/>
          <w:b w:val="0"/>
          <w:bCs/>
          <w:color w:val="auto"/>
          <w:kern w:val="2"/>
          <w:sz w:val="24"/>
          <w:szCs w:val="24"/>
          <w:lang w:val="en-US" w:eastAsia="zh-CN" w:bidi="ar-SA"/>
        </w:rPr>
        <w:t>国家在《“十四五”数字经济发展规划》中提出，建设高速泛在、天地一体、云网融合、智能敏捷、绿色低碳、安全可控的智能化综合性数字信息基础设施。ITU在5D工作组（ITU-R WP5D）第44次会议上明确提出6G六大场景，泛在连接作为其中重要组成，为卫星与地面融合通信提供广阔前景。3GPP R17标准在5G NTN系统明确了条件切换、测量增强等策略以应对低轨卫星复杂的切换场景。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outlineLvl w:val="9"/>
        <w:rPr>
          <w:rFonts w:hint="default" w:ascii="仿宋" w:eastAsia="仿宋" w:cs="仿宋"/>
          <w:b w:val="0"/>
          <w:bCs/>
          <w:color w:val="auto"/>
          <w:kern w:val="2"/>
          <w:sz w:val="24"/>
          <w:szCs w:val="24"/>
          <w:lang w:val="en-US" w:eastAsia="zh-CN" w:bidi="ar-SA"/>
        </w:rPr>
      </w:pPr>
      <w:r>
        <w:rPr>
          <w:rFonts w:hint="default" w:ascii="仿宋" w:eastAsia="仿宋" w:cs="仿宋"/>
          <w:b w:val="0"/>
          <w:bCs/>
          <w:color w:val="auto"/>
          <w:kern w:val="2"/>
          <w:sz w:val="24"/>
          <w:szCs w:val="24"/>
          <w:lang w:val="en-US" w:eastAsia="zh-CN" w:bidi="ar-SA"/>
        </w:rPr>
        <w:t>随着卫星网络建设成本不断下降</w:t>
      </w:r>
      <w:r>
        <w:rPr>
          <w:rFonts w:hint="eastAsia" w:ascii="仿宋" w:eastAsia="仿宋" w:cs="仿宋"/>
          <w:b w:val="0"/>
          <w:bCs/>
          <w:color w:val="auto"/>
          <w:kern w:val="2"/>
          <w:sz w:val="24"/>
          <w:szCs w:val="24"/>
          <w:lang w:val="en-US" w:eastAsia="zh-CN" w:bidi="ar-SA"/>
        </w:rPr>
        <w:t>、</w:t>
      </w:r>
      <w:r>
        <w:rPr>
          <w:rFonts w:hint="default" w:ascii="仿宋" w:eastAsia="仿宋" w:cs="仿宋"/>
          <w:b w:val="0"/>
          <w:bCs/>
          <w:color w:val="auto"/>
          <w:kern w:val="2"/>
          <w:sz w:val="24"/>
          <w:szCs w:val="24"/>
          <w:lang w:val="en-US" w:eastAsia="zh-CN" w:bidi="ar-SA"/>
        </w:rPr>
        <w:t>卫星通信技术与地面</w:t>
      </w:r>
      <w:r>
        <w:rPr>
          <w:rFonts w:hint="eastAsia" w:ascii="仿宋" w:eastAsia="仿宋" w:cs="仿宋"/>
          <w:b w:val="0"/>
          <w:bCs/>
          <w:color w:val="auto"/>
          <w:kern w:val="2"/>
          <w:sz w:val="24"/>
          <w:szCs w:val="24"/>
          <w:lang w:val="en-US" w:eastAsia="zh-CN" w:bidi="ar-SA"/>
        </w:rPr>
        <w:t>移动</w:t>
      </w:r>
      <w:r>
        <w:rPr>
          <w:rFonts w:hint="default" w:ascii="仿宋" w:eastAsia="仿宋" w:cs="仿宋"/>
          <w:b w:val="0"/>
          <w:bCs/>
          <w:color w:val="auto"/>
          <w:kern w:val="2"/>
          <w:sz w:val="24"/>
          <w:szCs w:val="24"/>
          <w:lang w:val="en-US" w:eastAsia="zh-CN" w:bidi="ar-SA"/>
        </w:rPr>
        <w:t>通信</w:t>
      </w:r>
      <w:r>
        <w:rPr>
          <w:rFonts w:hint="eastAsia" w:ascii="仿宋" w:eastAsia="仿宋" w:cs="仿宋"/>
          <w:b w:val="0"/>
          <w:bCs/>
          <w:color w:val="auto"/>
          <w:kern w:val="2"/>
          <w:sz w:val="24"/>
          <w:szCs w:val="24"/>
          <w:lang w:val="en-US" w:eastAsia="zh-CN" w:bidi="ar-SA"/>
        </w:rPr>
        <w:t>技术标准</w:t>
      </w:r>
      <w:r>
        <w:rPr>
          <w:rFonts w:hint="default" w:ascii="仿宋" w:eastAsia="仿宋" w:cs="仿宋"/>
          <w:b w:val="0"/>
          <w:bCs/>
          <w:color w:val="auto"/>
          <w:kern w:val="2"/>
          <w:sz w:val="24"/>
          <w:szCs w:val="24"/>
          <w:lang w:val="en-US" w:eastAsia="zh-CN" w:bidi="ar-SA"/>
        </w:rPr>
        <w:t>逐渐趋同，面向海洋、航空以及通信基础设施欠发达的应用需求逐步凸显，空天地网络融合技术与应用</w:t>
      </w:r>
      <w:r>
        <w:rPr>
          <w:rFonts w:hint="eastAsia" w:ascii="仿宋" w:eastAsia="仿宋" w:cs="仿宋"/>
          <w:b w:val="0"/>
          <w:bCs/>
          <w:color w:val="auto"/>
          <w:kern w:val="2"/>
          <w:sz w:val="24"/>
          <w:szCs w:val="24"/>
          <w:lang w:val="en-US" w:eastAsia="zh-CN" w:bidi="ar-SA"/>
        </w:rPr>
        <w:t>研究需求迫切。</w:t>
      </w:r>
      <w:r>
        <w:rPr>
          <w:rFonts w:hint="default" w:ascii="仿宋" w:eastAsia="仿宋" w:cs="仿宋"/>
          <w:b w:val="0"/>
          <w:bCs/>
          <w:color w:val="auto"/>
          <w:kern w:val="2"/>
          <w:sz w:val="24"/>
          <w:szCs w:val="24"/>
          <w:lang w:val="en-US" w:eastAsia="zh-CN" w:bidi="ar-SA"/>
        </w:rPr>
        <w:t>面向6G泛在连接愿景，</w:t>
      </w:r>
      <w:r>
        <w:rPr>
          <w:rFonts w:hint="eastAsia" w:ascii="仿宋" w:eastAsia="仿宋" w:cs="仿宋"/>
          <w:b w:val="0"/>
          <w:bCs/>
          <w:color w:val="auto"/>
          <w:kern w:val="2"/>
          <w:sz w:val="24"/>
          <w:szCs w:val="24"/>
          <w:lang w:val="en-US" w:eastAsia="zh-CN" w:bidi="ar-SA"/>
        </w:rPr>
        <w:t>其中</w:t>
      </w:r>
      <w:r>
        <w:rPr>
          <w:rFonts w:hint="default" w:ascii="仿宋" w:eastAsia="仿宋" w:cs="仿宋"/>
          <w:b w:val="0"/>
          <w:bCs/>
          <w:color w:val="auto"/>
          <w:kern w:val="2"/>
          <w:sz w:val="24"/>
          <w:szCs w:val="24"/>
          <w:lang w:val="en-US" w:eastAsia="zh-CN" w:bidi="ar-SA"/>
        </w:rPr>
        <w:t>一个重要目标就是实现无缝切换</w:t>
      </w:r>
      <w:r>
        <w:rPr>
          <w:rFonts w:hint="eastAsia" w:ascii="仿宋" w:eastAsia="仿宋" w:cs="仿宋"/>
          <w:b w:val="0"/>
          <w:bCs/>
          <w:color w:val="auto"/>
          <w:kern w:val="2"/>
          <w:sz w:val="24"/>
          <w:szCs w:val="24"/>
          <w:lang w:val="en-US" w:eastAsia="zh-CN" w:bidi="ar-SA"/>
        </w:rPr>
        <w:t>，</w:t>
      </w:r>
      <w:r>
        <w:rPr>
          <w:rFonts w:hint="default" w:ascii="仿宋" w:eastAsia="仿宋" w:cs="仿宋"/>
          <w:b w:val="0"/>
          <w:bCs/>
          <w:color w:val="auto"/>
          <w:kern w:val="2"/>
          <w:sz w:val="24"/>
          <w:szCs w:val="24"/>
          <w:lang w:val="en-US" w:eastAsia="zh-CN" w:bidi="ar-SA"/>
        </w:rPr>
        <w:t>星地融合组网需要考虑探索星-地切换、星-星切换、地-地切换一体化方案</w:t>
      </w:r>
      <w:r>
        <w:rPr>
          <w:rFonts w:hint="eastAsia" w:ascii="仿宋" w:eastAsia="仿宋" w:cs="仿宋"/>
          <w:b w:val="0"/>
          <w:bCs/>
          <w:color w:val="auto"/>
          <w:kern w:val="2"/>
          <w:sz w:val="24"/>
          <w:szCs w:val="24"/>
          <w:lang w:val="en-US" w:eastAsia="zh-CN" w:bidi="ar-SA"/>
        </w:rPr>
        <w:t>，面对规模庞大的低轨星座，</w:t>
      </w:r>
      <w:r>
        <w:rPr>
          <w:rFonts w:hint="default" w:ascii="仿宋" w:eastAsia="仿宋" w:cs="仿宋"/>
          <w:b w:val="0"/>
          <w:bCs/>
          <w:color w:val="auto"/>
          <w:kern w:val="2"/>
          <w:sz w:val="24"/>
          <w:szCs w:val="24"/>
          <w:lang w:val="en-US" w:eastAsia="zh-CN" w:bidi="ar-SA"/>
        </w:rPr>
        <w:t>天地融合组网</w:t>
      </w:r>
      <w:r>
        <w:rPr>
          <w:rFonts w:hint="eastAsia" w:ascii="仿宋" w:eastAsia="仿宋" w:cs="仿宋"/>
          <w:b w:val="0"/>
          <w:bCs/>
          <w:color w:val="auto"/>
          <w:kern w:val="2"/>
          <w:sz w:val="24"/>
          <w:szCs w:val="24"/>
          <w:lang w:val="en-US" w:eastAsia="zh-CN" w:bidi="ar-SA"/>
        </w:rPr>
        <w:t>切换问题面临</w:t>
      </w:r>
      <w:r>
        <w:rPr>
          <w:rFonts w:hint="default" w:ascii="仿宋" w:eastAsia="仿宋" w:cs="仿宋"/>
          <w:b w:val="0"/>
          <w:bCs/>
          <w:color w:val="auto"/>
          <w:kern w:val="2"/>
          <w:sz w:val="24"/>
          <w:szCs w:val="24"/>
          <w:lang w:val="en-US" w:eastAsia="zh-CN" w:bidi="ar-SA"/>
        </w:rPr>
        <w:t>挑战</w:t>
      </w:r>
      <w:r>
        <w:rPr>
          <w:rFonts w:hint="eastAsia" w:ascii="仿宋" w:eastAsia="仿宋" w:cs="仿宋"/>
          <w:b w:val="0"/>
          <w:bCs/>
          <w:color w:val="auto"/>
          <w:kern w:val="2"/>
          <w:sz w:val="24"/>
          <w:szCs w:val="24"/>
          <w:lang w:val="en-US" w:eastAsia="zh-CN" w:bidi="ar-SA"/>
        </w:rPr>
        <w:t>。同时面对应急通信、偏远地区回传等星地融合应用场景，需针对数据回传业务模型进行协同优化。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2" w:firstLineChars="200"/>
        <w:textAlignment w:val="auto"/>
        <w:outlineLvl w:val="9"/>
        <w:rPr>
          <w:rFonts w:hint="eastAsia" w:ascii="仿宋" w:hAnsi="仿宋" w:eastAsia="仿宋" w:cs="仿宋"/>
          <w:b/>
          <w:bCs w:val="0"/>
          <w:color w:val="auto"/>
          <w:kern w:val="2"/>
          <w:sz w:val="24"/>
          <w:szCs w:val="24"/>
          <w:lang w:val="en-US" w:eastAsia="zh-CN" w:bidi="ar-SA"/>
        </w:rPr>
      </w:pPr>
      <w:r>
        <w:rPr>
          <w:rFonts w:hint="eastAsia" w:ascii="仿宋" w:hAnsi="仿宋" w:eastAsia="仿宋" w:cs="仿宋"/>
          <w:b/>
          <w:bCs w:val="0"/>
          <w:color w:val="auto"/>
          <w:kern w:val="2"/>
          <w:sz w:val="24"/>
          <w:szCs w:val="24"/>
          <w:lang w:val="en-US" w:eastAsia="zh-CN" w:bidi="ar-SA"/>
        </w:rPr>
        <w:t>研究意义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outlineLvl w:val="9"/>
        <w:rPr>
          <w:rFonts w:hint="eastAsia" w:ascii="仿宋" w:hAnsi="仿宋" w:eastAsia="仿宋" w:cs="仿宋"/>
          <w:sz w:val="24"/>
          <w:szCs w:val="24"/>
          <w:lang w:val="en-US" w:eastAsia="zh-CN"/>
        </w:rPr>
      </w:pPr>
      <w:r>
        <w:rPr>
          <w:rFonts w:hint="eastAsia" w:ascii="仿宋" w:hAnsi="仿宋" w:eastAsia="仿宋" w:cs="仿宋"/>
          <w:b w:val="0"/>
          <w:bCs/>
          <w:color w:val="auto"/>
          <w:kern w:val="2"/>
          <w:sz w:val="24"/>
          <w:szCs w:val="24"/>
          <w:lang w:val="en-US" w:eastAsia="zh-CN" w:bidi="ar-SA"/>
        </w:rPr>
        <w:t>面向未来地面移动卫星通信系统融合组网需求，本项目拟开展星地融合组网</w:t>
      </w:r>
      <w:r>
        <w:rPr>
          <w:rFonts w:hint="eastAsia" w:ascii="仿宋" w:eastAsia="仿宋" w:cs="仿宋"/>
          <w:b w:val="0"/>
          <w:bCs/>
          <w:color w:val="auto"/>
          <w:kern w:val="2"/>
          <w:sz w:val="24"/>
          <w:szCs w:val="24"/>
          <w:lang w:val="en-US" w:eastAsia="zh-CN" w:bidi="ar-SA"/>
        </w:rPr>
        <w:t>高效一体化切换流程及决策算法研究，实现星地融合组网中实现无缝、高效切换，推动中国移动向星地融合网络发展，同时对星地融合网络业务模型的相关分析和研究，为融合网络的优化设计提供基础。</w:t>
      </w:r>
    </w:p>
    <w:p>
      <w:pPr>
        <w:pStyle w:val="2"/>
        <w:rPr>
          <w:rFonts w:hint="eastAsia" w:ascii="Times New Roman" w:hAnsi="Times New Roman"/>
        </w:rPr>
      </w:pPr>
      <w:r>
        <w:rPr>
          <w:rFonts w:hint="eastAsia" w:ascii="Times New Roman" w:hAnsi="Times New Roman"/>
        </w:rPr>
        <w:t>科研目标与内容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outlineLvl w:val="9"/>
        <w:rPr>
          <w:rFonts w:hint="eastAsia" w:ascii="仿宋" w:eastAsia="仿宋" w:cs="仿宋"/>
          <w:b w:val="0"/>
          <w:bCs/>
          <w:color w:val="auto"/>
          <w:kern w:val="2"/>
          <w:sz w:val="24"/>
          <w:szCs w:val="24"/>
          <w:lang w:val="en-US" w:eastAsia="zh-CN" w:bidi="ar-SA"/>
        </w:rPr>
      </w:pPr>
      <w:r>
        <w:rPr>
          <w:rFonts w:hint="eastAsia" w:ascii="仿宋" w:hAnsi="仿宋" w:eastAsia="仿宋" w:cs="仿宋"/>
          <w:b w:val="0"/>
          <w:bCs/>
          <w:color w:val="auto"/>
          <w:kern w:val="2"/>
          <w:sz w:val="24"/>
          <w:szCs w:val="24"/>
          <w:lang w:val="en-US" w:eastAsia="zh-CN" w:bidi="ar-SA"/>
        </w:rPr>
        <w:t>本课题拟围绕地面移动通信系统和卫星通信系统融合组网目标</w:t>
      </w:r>
      <w:r>
        <w:rPr>
          <w:rFonts w:hint="eastAsia" w:ascii="仿宋" w:eastAsia="仿宋" w:cs="仿宋"/>
          <w:b w:val="0"/>
          <w:bCs/>
          <w:color w:val="auto"/>
          <w:kern w:val="2"/>
          <w:sz w:val="24"/>
          <w:szCs w:val="24"/>
          <w:lang w:val="en-US" w:eastAsia="zh-CN" w:bidi="ar-SA"/>
        </w:rPr>
        <w:t>,研究星地网络的一体化切换问题，探索卫星与地面网络在条件切换、测量增强、切换流程、判决算法等切换策略，对星地融合网络业务模型进行建模分析，并对以上研究进行仿真评估，为未来一体化组网提供理论基础，具体研究内容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2" w:firstLineChars="200"/>
        <w:textAlignment w:val="auto"/>
        <w:outlineLvl w:val="9"/>
        <w:rPr>
          <w:rFonts w:hint="eastAsia" w:ascii="仿宋" w:hAnsi="仿宋" w:eastAsia="仿宋" w:cs="仿宋"/>
          <w:b w:val="0"/>
          <w:bCs/>
          <w:color w:val="auto"/>
          <w:kern w:val="2"/>
          <w:sz w:val="24"/>
          <w:szCs w:val="24"/>
          <w:lang w:val="en-US" w:eastAsia="zh-CN" w:bidi="ar-SA"/>
        </w:rPr>
      </w:pPr>
      <w:r>
        <w:rPr>
          <w:rFonts w:hint="eastAsia" w:ascii="仿宋" w:hAnsi="仿宋" w:eastAsia="仿宋" w:cs="仿宋"/>
          <w:b/>
          <w:bCs w:val="0"/>
          <w:color w:val="auto"/>
          <w:kern w:val="2"/>
          <w:sz w:val="24"/>
          <w:szCs w:val="24"/>
          <w:lang w:val="en-US" w:eastAsia="zh-CN" w:bidi="ar-SA"/>
        </w:rPr>
        <w:t>研究内容1：星地融合组网切换策略研究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outlineLvl w:val="9"/>
        <w:rPr>
          <w:rFonts w:hint="eastAsia" w:ascii="仿宋" w:hAnsi="仿宋" w:eastAsia="仿宋" w:cs="仿宋"/>
          <w:b w:val="0"/>
          <w:bCs/>
          <w:color w:val="auto"/>
          <w:kern w:val="2"/>
          <w:sz w:val="24"/>
          <w:szCs w:val="24"/>
          <w:lang w:val="en-US" w:eastAsia="zh-CN" w:bidi="ar-SA"/>
        </w:rPr>
      </w:pPr>
      <w:r>
        <w:rPr>
          <w:rFonts w:hint="eastAsia" w:ascii="仿宋" w:hAnsi="仿宋" w:eastAsia="仿宋" w:cs="仿宋"/>
          <w:b w:val="0"/>
          <w:bCs/>
          <w:color w:val="auto"/>
          <w:kern w:val="2"/>
          <w:sz w:val="24"/>
          <w:szCs w:val="24"/>
          <w:lang w:val="en-US" w:eastAsia="zh-CN" w:bidi="ar-SA"/>
        </w:rPr>
        <w:t>研究卫星通信与地面移动网络融合组网下的移动性管理策略，针对卫星覆盖固定波束和覆盖移动波束，在馈电链路或服务链路的切换流程和判决开展研究。围绕星间、星地、波束间等切换场景，针对卫星移动、用户移动等不同条件，建立分析模型，并结合条件切换形成合理的切换流程，同时验证流程必要性。基于此开展切换判决算法研究，通过仿真分析，验证判决算法的合理性和优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2" w:firstLineChars="200"/>
        <w:textAlignment w:val="auto"/>
        <w:outlineLvl w:val="9"/>
        <w:rPr>
          <w:rFonts w:hint="default" w:ascii="仿宋" w:hAnsi="仿宋" w:eastAsia="仿宋" w:cs="仿宋"/>
          <w:b w:val="0"/>
          <w:bCs/>
          <w:color w:val="auto"/>
          <w:kern w:val="2"/>
          <w:sz w:val="24"/>
          <w:szCs w:val="24"/>
          <w:lang w:val="en-US" w:eastAsia="zh-CN" w:bidi="ar-SA"/>
        </w:rPr>
      </w:pPr>
      <w:r>
        <w:rPr>
          <w:rFonts w:hint="eastAsia" w:ascii="仿宋" w:hAnsi="仿宋" w:eastAsia="仿宋" w:cs="仿宋"/>
          <w:b/>
          <w:bCs w:val="0"/>
          <w:color w:val="auto"/>
          <w:kern w:val="2"/>
          <w:sz w:val="24"/>
          <w:szCs w:val="24"/>
          <w:lang w:val="en-US" w:eastAsia="zh-CN" w:bidi="ar-SA"/>
        </w:rPr>
        <w:t>研究内容2：星地融合多维业务模型研究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outlineLvl w:val="9"/>
        <w:rPr>
          <w:rFonts w:hint="eastAsia" w:ascii="仿宋" w:hAnsi="仿宋" w:eastAsia="仿宋" w:cs="仿宋"/>
          <w:b w:val="0"/>
          <w:bCs/>
          <w:color w:val="auto"/>
          <w:kern w:val="2"/>
          <w:sz w:val="24"/>
          <w:szCs w:val="24"/>
          <w:lang w:val="en-US" w:eastAsia="zh-CN" w:bidi="ar-SA"/>
        </w:rPr>
      </w:pPr>
      <w:r>
        <w:rPr>
          <w:rFonts w:hint="eastAsia" w:ascii="仿宋" w:hAnsi="仿宋" w:eastAsia="仿宋" w:cs="仿宋"/>
          <w:b w:val="0"/>
          <w:bCs/>
          <w:color w:val="auto"/>
          <w:kern w:val="2"/>
          <w:sz w:val="24"/>
          <w:szCs w:val="24"/>
          <w:lang w:val="en-US" w:eastAsia="zh-CN" w:bidi="ar-SA"/>
        </w:rPr>
        <w:t>研究星地融合场景下不同业务QoS保障需求。建立业务模型，分析eMBB、mMTC和uRLLC的业务传输特征，同时针对应急回传链路场景，开展数学模型分析，探明卫星链路回传的QoS承载需求，</w:t>
      </w:r>
      <w:r>
        <w:rPr>
          <w:rFonts w:hint="eastAsia" w:ascii="仿宋" w:hAnsi="仿宋" w:eastAsia="仿宋" w:cs="仿宋"/>
          <w:sz w:val="24"/>
          <w:szCs w:val="28"/>
          <w:lang w:val="en-US" w:eastAsia="zh-CN"/>
        </w:rPr>
        <w:t>研究天地一体网络利用率，</w:t>
      </w:r>
      <w:r>
        <w:rPr>
          <w:rFonts w:hint="eastAsia" w:ascii="仿宋" w:hAnsi="仿宋" w:eastAsia="仿宋" w:cs="仿宋"/>
          <w:b w:val="0"/>
          <w:bCs/>
          <w:color w:val="auto"/>
          <w:kern w:val="2"/>
          <w:sz w:val="24"/>
          <w:szCs w:val="24"/>
          <w:lang w:val="en-US" w:eastAsia="zh-CN" w:bidi="ar-SA"/>
        </w:rPr>
        <w:t>为融合网络的优化设计提供基础。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outlineLvl w:val="9"/>
        <w:rPr>
          <w:rFonts w:hint="default" w:ascii="仿宋" w:hAnsi="仿宋" w:eastAsia="仿宋" w:cs="仿宋"/>
          <w:b w:val="0"/>
          <w:bCs/>
          <w:color w:val="auto"/>
          <w:kern w:val="2"/>
          <w:sz w:val="24"/>
          <w:szCs w:val="24"/>
          <w:lang w:val="en-US" w:eastAsia="zh-CN" w:bidi="ar-SA"/>
        </w:rPr>
      </w:pPr>
    </w:p>
    <w:p>
      <w:pPr>
        <w:pStyle w:val="2"/>
        <w:rPr>
          <w:rFonts w:hint="eastAsia" w:ascii="Times New Roman" w:hAnsi="Times New Roman"/>
        </w:rPr>
      </w:pPr>
      <w:r>
        <w:rPr>
          <w:rFonts w:hint="eastAsia" w:ascii="Times New Roman" w:hAnsi="Times New Roman"/>
        </w:rPr>
        <w:t>预期成果及要求</w:t>
      </w:r>
    </w:p>
    <w:p>
      <w:pPr>
        <w:keepNext w:val="0"/>
        <w:keepLines w:val="0"/>
        <w:pageBreakBefore w:val="0"/>
        <w:widowControl w:val="0"/>
        <w:numPr>
          <w:ilvl w:val="0"/>
          <w:numId w:val="0"/>
        </w:numPr>
        <w:kinsoku/>
        <w:wordWrap/>
        <w:overflowPunct/>
        <w:topLinePunct w:val="0"/>
        <w:autoSpaceDE/>
        <w:autoSpaceDN/>
        <w:bidi w:val="0"/>
        <w:adjustRightInd/>
        <w:snapToGrid/>
        <w:ind w:leftChars="0" w:firstLine="560" w:firstLineChars="200"/>
        <w:textAlignment w:val="auto"/>
        <w:outlineLvl w:val="9"/>
        <w:rPr>
          <w:rFonts w:hint="eastAsia" w:ascii="仿宋" w:hAnsi="仿宋" w:eastAsia="仿宋" w:cs="仿宋"/>
          <w:b w:val="0"/>
          <w:bCs/>
          <w:color w:val="auto"/>
          <w:kern w:val="2"/>
          <w:sz w:val="28"/>
          <w:szCs w:val="28"/>
          <w:lang w:val="en-US" w:eastAsia="zh-CN" w:bidi="ar-SA"/>
        </w:rPr>
      </w:pPr>
      <w:r>
        <w:rPr>
          <w:rFonts w:hint="eastAsia" w:ascii="仿宋" w:hAnsi="仿宋" w:eastAsia="仿宋" w:cs="仿宋"/>
          <w:b w:val="0"/>
          <w:bCs/>
          <w:color w:val="auto"/>
          <w:kern w:val="2"/>
          <w:sz w:val="28"/>
          <w:szCs w:val="28"/>
          <w:lang w:val="en-US" w:eastAsia="zh-CN" w:bidi="ar-SA"/>
        </w:rPr>
        <w:t>预期成果：《星地融合组网切换策略研究》及《星地多维业务模型研究</w:t>
      </w:r>
      <w:r>
        <w:rPr>
          <w:rFonts w:hint="eastAsia" w:ascii="仿宋" w:eastAsia="仿宋" w:cs="仿宋"/>
          <w:b w:val="0"/>
          <w:bCs/>
          <w:color w:val="auto"/>
          <w:kern w:val="2"/>
          <w:sz w:val="28"/>
          <w:szCs w:val="28"/>
          <w:lang w:val="en-US" w:eastAsia="zh-CN" w:bidi="ar-SA"/>
        </w:rPr>
        <w:t>报告</w:t>
      </w:r>
      <w:r>
        <w:rPr>
          <w:rFonts w:hint="eastAsia" w:ascii="仿宋" w:hAnsi="仿宋" w:eastAsia="仿宋" w:cs="仿宋"/>
          <w:b w:val="0"/>
          <w:bCs/>
          <w:color w:val="auto"/>
          <w:kern w:val="2"/>
          <w:sz w:val="28"/>
          <w:szCs w:val="28"/>
          <w:lang w:val="en-US" w:eastAsia="zh-CN" w:bidi="ar-SA"/>
        </w:rPr>
        <w:t>》研究报告；</w:t>
      </w:r>
      <w:r>
        <w:rPr>
          <w:rFonts w:hint="eastAsia" w:ascii="仿宋" w:eastAsia="仿宋" w:cs="仿宋"/>
          <w:b w:val="0"/>
          <w:bCs/>
          <w:color w:val="auto"/>
          <w:kern w:val="2"/>
          <w:sz w:val="28"/>
          <w:szCs w:val="28"/>
          <w:lang w:val="en-US" w:eastAsia="zh-CN" w:bidi="ar-SA"/>
        </w:rPr>
        <w:t>相关</w:t>
      </w:r>
      <w:r>
        <w:rPr>
          <w:rFonts w:hint="eastAsia" w:ascii="仿宋" w:hAnsi="仿宋" w:eastAsia="仿宋" w:cs="仿宋"/>
          <w:b w:val="0"/>
          <w:bCs/>
          <w:color w:val="auto"/>
          <w:kern w:val="2"/>
          <w:sz w:val="28"/>
          <w:szCs w:val="28"/>
          <w:lang w:val="en-US" w:eastAsia="zh-CN" w:bidi="ar-SA"/>
        </w:rPr>
        <w:t>论文2篇，</w:t>
      </w:r>
      <w:r>
        <w:rPr>
          <w:rFonts w:hint="eastAsia" w:ascii="仿宋" w:eastAsia="仿宋" w:cs="仿宋"/>
          <w:b w:val="0"/>
          <w:bCs/>
          <w:color w:val="auto"/>
          <w:kern w:val="2"/>
          <w:sz w:val="28"/>
          <w:szCs w:val="28"/>
          <w:lang w:val="en-US" w:eastAsia="zh-CN" w:bidi="ar-SA"/>
        </w:rPr>
        <w:t>相关</w:t>
      </w:r>
      <w:r>
        <w:rPr>
          <w:rFonts w:hint="eastAsia" w:ascii="仿宋" w:hAnsi="仿宋" w:eastAsia="仿宋" w:cs="仿宋"/>
          <w:b w:val="0"/>
          <w:bCs/>
          <w:color w:val="auto"/>
          <w:kern w:val="2"/>
          <w:sz w:val="28"/>
          <w:szCs w:val="28"/>
          <w:lang w:val="en-US" w:eastAsia="zh-CN" w:bidi="ar-SA"/>
        </w:rPr>
        <w:t>专利</w:t>
      </w:r>
      <w:r>
        <w:rPr>
          <w:rFonts w:hint="eastAsia" w:ascii="仿宋" w:eastAsia="仿宋" w:cs="仿宋"/>
          <w:b w:val="0"/>
          <w:bCs/>
          <w:color w:val="auto"/>
          <w:kern w:val="2"/>
          <w:sz w:val="28"/>
          <w:szCs w:val="28"/>
          <w:lang w:val="en-US" w:eastAsia="zh-CN" w:bidi="ar-SA"/>
        </w:rPr>
        <w:t>3项</w:t>
      </w:r>
      <w:r>
        <w:rPr>
          <w:rFonts w:hint="eastAsia" w:ascii="仿宋" w:hAnsi="仿宋" w:eastAsia="仿宋" w:cs="仿宋"/>
          <w:b w:val="0"/>
          <w:bCs/>
          <w:color w:val="auto"/>
          <w:kern w:val="2"/>
          <w:sz w:val="28"/>
          <w:szCs w:val="28"/>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ind w:leftChars="0" w:firstLine="560" w:firstLineChars="200"/>
        <w:textAlignment w:val="auto"/>
        <w:outlineLvl w:val="9"/>
        <w:rPr>
          <w:rFonts w:hint="default" w:ascii="仿宋" w:hAnsi="仿宋" w:eastAsia="仿宋" w:cs="仿宋"/>
          <w:b w:val="0"/>
          <w:bCs/>
          <w:color w:val="auto"/>
          <w:kern w:val="2"/>
          <w:sz w:val="28"/>
          <w:szCs w:val="28"/>
          <w:lang w:val="en-US" w:eastAsia="zh-CN" w:bidi="ar-SA"/>
        </w:rPr>
      </w:pPr>
      <w:r>
        <w:rPr>
          <w:rFonts w:hint="default" w:ascii="仿宋" w:hAnsi="仿宋" w:eastAsia="仿宋" w:cs="仿宋"/>
          <w:b w:val="0"/>
          <w:bCs/>
          <w:color w:val="auto"/>
          <w:kern w:val="2"/>
          <w:sz w:val="28"/>
          <w:szCs w:val="28"/>
          <w:lang w:val="en-US" w:eastAsia="zh-CN" w:bidi="ar-SA"/>
        </w:rPr>
        <w:t>提出的星地融合组网中的CHO算法与基线算法相比，降低15%的切换时延，切换率降低20%，实现业界领先的网络负载均衡技术，将网络中的控制消息数量减少30%。</w:t>
      </w:r>
    </w:p>
    <w:p>
      <w:pPr>
        <w:keepNext w:val="0"/>
        <w:keepLines w:val="0"/>
        <w:pageBreakBefore w:val="0"/>
        <w:widowControl w:val="0"/>
        <w:numPr>
          <w:ilvl w:val="0"/>
          <w:numId w:val="0"/>
        </w:numPr>
        <w:kinsoku/>
        <w:wordWrap/>
        <w:overflowPunct/>
        <w:topLinePunct w:val="0"/>
        <w:autoSpaceDE/>
        <w:autoSpaceDN/>
        <w:bidi w:val="0"/>
        <w:adjustRightInd/>
        <w:snapToGrid/>
        <w:ind w:leftChars="0" w:firstLine="560" w:firstLineChars="200"/>
        <w:textAlignment w:val="auto"/>
        <w:outlineLvl w:val="9"/>
        <w:rPr>
          <w:rFonts w:hint="default" w:ascii="仿宋" w:hAnsi="仿宋" w:eastAsia="仿宋" w:cs="仿宋"/>
          <w:b w:val="0"/>
          <w:bCs/>
          <w:color w:val="auto"/>
          <w:kern w:val="2"/>
          <w:sz w:val="28"/>
          <w:szCs w:val="28"/>
          <w:lang w:val="en-US" w:eastAsia="zh-CN" w:bidi="ar-SA"/>
        </w:rPr>
      </w:pPr>
      <w:r>
        <w:rPr>
          <w:rFonts w:hint="eastAsia" w:ascii="仿宋" w:eastAsia="仿宋" w:cs="仿宋"/>
          <w:b w:val="0"/>
          <w:bCs/>
          <w:color w:val="auto"/>
          <w:kern w:val="2"/>
          <w:sz w:val="28"/>
          <w:szCs w:val="28"/>
          <w:lang w:val="en-US" w:eastAsia="zh-CN" w:bidi="ar-SA"/>
        </w:rPr>
        <w:t>星地多维业务模型方面</w:t>
      </w:r>
      <w:r>
        <w:rPr>
          <w:rFonts w:hint="default" w:ascii="仿宋" w:hAnsi="仿宋" w:eastAsia="仿宋" w:cs="仿宋"/>
          <w:b w:val="0"/>
          <w:bCs/>
          <w:color w:val="auto"/>
          <w:kern w:val="2"/>
          <w:sz w:val="28"/>
          <w:szCs w:val="28"/>
          <w:lang w:val="en-US" w:eastAsia="zh-CN" w:bidi="ar-SA"/>
        </w:rPr>
        <w:t>采用业界领先的数学建模方法，分析面向星地传输的5G类业务吞吐量的数学模型，针对应急回传链路，探索在基于5G体制回传链路的吞吐量性能和需求</w:t>
      </w:r>
      <w:r>
        <w:rPr>
          <w:rFonts w:hint="eastAsia" w:ascii="仿宋" w:hAnsi="仿宋" w:eastAsia="仿宋" w:cs="仿宋"/>
          <w:b w:val="0"/>
          <w:bCs/>
          <w:color w:val="auto"/>
          <w:kern w:val="2"/>
          <w:sz w:val="28"/>
          <w:szCs w:val="28"/>
          <w:lang w:val="en-US" w:eastAsia="zh-CN" w:bidi="ar-SA"/>
        </w:rPr>
        <w:t>。</w:t>
      </w:r>
    </w:p>
    <w:p>
      <w:pPr>
        <w:rPr>
          <w:rFonts w:hint="eastAsia" w:ascii="仿宋" w:hAnsi="仿宋" w:eastAsia="仿宋" w:cs="仿宋"/>
          <w:b/>
          <w:bCs w:val="0"/>
          <w:color w:val="auto"/>
          <w:kern w:val="2"/>
          <w:sz w:val="28"/>
          <w:szCs w:val="28"/>
          <w:lang w:val="en-US" w:eastAsia="zh-CN" w:bidi="ar-SA"/>
        </w:rPr>
      </w:pPr>
      <w:r>
        <w:rPr>
          <w:rFonts w:hint="eastAsia" w:ascii="仿宋" w:hAnsi="仿宋" w:eastAsia="仿宋" w:cs="仿宋"/>
          <w:b/>
          <w:bCs w:val="0"/>
          <w:color w:val="auto"/>
          <w:kern w:val="2"/>
          <w:sz w:val="28"/>
          <w:szCs w:val="28"/>
          <w:lang w:val="en-US" w:eastAsia="zh-CN" w:bidi="ar-SA"/>
        </w:rPr>
        <w:t>知识产权任务</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color w:val="auto"/>
          <w:kern w:val="2"/>
          <w:sz w:val="28"/>
          <w:szCs w:val="28"/>
          <w:lang w:val="en-US" w:eastAsia="zh-CN" w:bidi="ar-SA"/>
        </w:rPr>
      </w:pPr>
      <w:r>
        <w:rPr>
          <w:rFonts w:hint="eastAsia" w:ascii="仿宋" w:hAnsi="仿宋" w:eastAsia="仿宋" w:cs="仿宋"/>
          <w:b w:val="0"/>
          <w:bCs/>
          <w:color w:val="auto"/>
          <w:kern w:val="2"/>
          <w:sz w:val="28"/>
          <w:szCs w:val="28"/>
          <w:lang w:val="en-US" w:eastAsia="zh-CN" w:bidi="ar-SA"/>
        </w:rPr>
        <w:t>预期成果:提交3篇专利，该专利需通过中国移动集团评审;提交2篇论文，应被国际知名 EI 会议或 SCI 期刊论文检索。</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b w:val="0"/>
          <w:bCs/>
          <w:color w:val="auto"/>
          <w:kern w:val="2"/>
          <w:sz w:val="28"/>
          <w:szCs w:val="28"/>
          <w:lang w:val="en-US" w:eastAsia="zh-CN" w:bidi="ar-SA"/>
        </w:rPr>
      </w:pPr>
      <w:r>
        <w:rPr>
          <w:rFonts w:hint="eastAsia" w:ascii="仿宋" w:hAnsi="仿宋" w:eastAsia="仿宋" w:cs="仿宋"/>
          <w:b w:val="0"/>
          <w:bCs/>
          <w:color w:val="auto"/>
          <w:kern w:val="2"/>
          <w:sz w:val="28"/>
          <w:szCs w:val="28"/>
          <w:lang w:val="en-US" w:eastAsia="zh-CN" w:bidi="ar-SA"/>
        </w:rPr>
        <w:t>注:专利应按照中国移动通信集团标准专利模版书写，第一作者与权利人需是中国移动员工;论文中作者排序，中国移动员工应第二作者(含)以上。</w:t>
      </w:r>
    </w:p>
    <w:p>
      <w:pPr>
        <w:pStyle w:val="2"/>
        <w:rPr>
          <w:rFonts w:hint="eastAsia" w:ascii="Times New Roman" w:hAnsi="Times New Roman"/>
        </w:rPr>
      </w:pPr>
      <w:r>
        <w:rPr>
          <w:rFonts w:hint="eastAsia" w:ascii="Times New Roman" w:hAnsi="Times New Roman"/>
        </w:rPr>
        <w:t>课题时间要求</w:t>
      </w:r>
    </w:p>
    <w:p>
      <w:pPr>
        <w:keepNext w:val="0"/>
        <w:keepLines w:val="0"/>
        <w:pageBreakBefore w:val="0"/>
        <w:widowControl w:val="0"/>
        <w:kinsoku/>
        <w:wordWrap/>
        <w:overflowPunct/>
        <w:topLinePunct w:val="0"/>
        <w:autoSpaceDE/>
        <w:autoSpaceDN/>
        <w:bidi w:val="0"/>
        <w:adjustRightInd/>
        <w:snapToGrid/>
        <w:spacing w:line="360" w:lineRule="auto"/>
        <w:ind w:left="6"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202</w:t>
      </w:r>
      <w:r>
        <w:rPr>
          <w:rFonts w:hint="eastAsia" w:ascii="仿宋" w:hAnsi="仿宋" w:eastAsia="仿宋" w:cs="仿宋"/>
          <w:sz w:val="28"/>
          <w:szCs w:val="28"/>
          <w:lang w:val="en-US" w:eastAsia="zh-CN"/>
        </w:rPr>
        <w:t>4</w:t>
      </w:r>
      <w:r>
        <w:rPr>
          <w:rFonts w:hint="eastAsia" w:ascii="仿宋" w:hAnsi="仿宋" w:eastAsia="仿宋" w:cs="仿宋"/>
          <w:sz w:val="28"/>
          <w:szCs w:val="28"/>
        </w:rPr>
        <w:t>年</w:t>
      </w:r>
      <w:r>
        <w:rPr>
          <w:rFonts w:hint="eastAsia" w:ascii="仿宋" w:hAnsi="仿宋" w:eastAsia="仿宋" w:cs="仿宋"/>
          <w:sz w:val="28"/>
          <w:szCs w:val="28"/>
          <w:lang w:val="en-US"/>
        </w:rPr>
        <w:t>1</w:t>
      </w:r>
      <w:r>
        <w:rPr>
          <w:rFonts w:hint="eastAsia" w:ascii="仿宋" w:hAnsi="仿宋" w:eastAsia="仿宋" w:cs="仿宋"/>
          <w:sz w:val="28"/>
          <w:szCs w:val="28"/>
        </w:rPr>
        <w:t>月~202</w:t>
      </w:r>
      <w:r>
        <w:rPr>
          <w:rFonts w:hint="eastAsia" w:ascii="仿宋" w:hAnsi="仿宋" w:eastAsia="仿宋" w:cs="仿宋"/>
          <w:sz w:val="28"/>
          <w:szCs w:val="28"/>
          <w:lang w:val="en-US" w:eastAsia="zh-CN"/>
        </w:rPr>
        <w:t>4</w:t>
      </w:r>
      <w:r>
        <w:rPr>
          <w:rFonts w:hint="eastAsia" w:ascii="仿宋" w:hAnsi="仿宋" w:eastAsia="仿宋" w:cs="仿宋"/>
          <w:sz w:val="28"/>
          <w:szCs w:val="28"/>
        </w:rPr>
        <w:t>年12月，完成的任务和输出的成果：</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114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输出研究</w:t>
      </w:r>
      <w:r>
        <w:rPr>
          <w:rFonts w:hint="eastAsia" w:ascii="仿宋" w:hAnsi="仿宋" w:eastAsia="仿宋" w:cs="仿宋"/>
          <w:sz w:val="28"/>
          <w:szCs w:val="28"/>
        </w:rPr>
        <w:t>报告</w:t>
      </w:r>
      <w:r>
        <w:rPr>
          <w:rFonts w:hint="eastAsia" w:ascii="仿宋" w:hAnsi="仿宋" w:eastAsia="仿宋" w:cs="仿宋"/>
          <w:sz w:val="28"/>
          <w:szCs w:val="28"/>
          <w:lang w:val="en-US"/>
        </w:rPr>
        <w:t>2</w:t>
      </w:r>
      <w:r>
        <w:rPr>
          <w:rFonts w:hint="eastAsia" w:ascii="仿宋" w:hAnsi="仿宋" w:eastAsia="仿宋" w:cs="仿宋"/>
          <w:sz w:val="28"/>
          <w:szCs w:val="28"/>
        </w:rPr>
        <w:t>份</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1140" w:firstLine="0" w:firstLineChars="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投稿</w:t>
      </w:r>
      <w:r>
        <w:rPr>
          <w:rFonts w:hint="eastAsia" w:ascii="仿宋" w:hAnsi="仿宋" w:eastAsia="仿宋" w:cs="仿宋"/>
          <w:sz w:val="28"/>
          <w:szCs w:val="28"/>
        </w:rPr>
        <w:t>论文</w:t>
      </w:r>
      <w:r>
        <w:rPr>
          <w:rFonts w:hint="eastAsia" w:ascii="仿宋" w:hAnsi="仿宋" w:eastAsia="仿宋" w:cs="仿宋"/>
          <w:sz w:val="28"/>
          <w:szCs w:val="28"/>
          <w:lang w:val="en-US"/>
        </w:rPr>
        <w:t>2</w:t>
      </w:r>
      <w:r>
        <w:rPr>
          <w:rFonts w:hint="eastAsia" w:ascii="仿宋" w:hAnsi="仿宋" w:eastAsia="仿宋" w:cs="仿宋"/>
          <w:sz w:val="28"/>
          <w:szCs w:val="28"/>
        </w:rPr>
        <w:t>篇</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1140" w:firstLine="0" w:firstLineChars="0"/>
        <w:textAlignment w:val="auto"/>
        <w:rPr>
          <w:rFonts w:hint="eastAsia" w:ascii="仿宋" w:hAnsi="仿宋" w:eastAsia="仿宋" w:cs="仿宋"/>
          <w:sz w:val="28"/>
          <w:szCs w:val="28"/>
        </w:rPr>
      </w:pPr>
      <w:r>
        <w:rPr>
          <w:rFonts w:hint="eastAsia" w:ascii="仿宋" w:hAnsi="仿宋" w:eastAsia="仿宋" w:cs="仿宋"/>
          <w:sz w:val="28"/>
          <w:szCs w:val="28"/>
        </w:rPr>
        <w:t>申请发明专利</w:t>
      </w:r>
      <w:r>
        <w:rPr>
          <w:rFonts w:hint="eastAsia" w:ascii="仿宋" w:hAnsi="仿宋" w:eastAsia="仿宋" w:cs="仿宋"/>
          <w:sz w:val="28"/>
          <w:szCs w:val="28"/>
          <w:lang w:val="en-US" w:eastAsia="zh-CN"/>
        </w:rPr>
        <w:t>3</w:t>
      </w:r>
      <w:r>
        <w:rPr>
          <w:rFonts w:hint="eastAsia" w:ascii="仿宋" w:hAnsi="仿宋" w:eastAsia="仿宋" w:cs="仿宋"/>
          <w:sz w:val="28"/>
          <w:szCs w:val="28"/>
        </w:rPr>
        <w:t>项</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00" w:firstLineChars="200"/>
        <w:textAlignment w:val="auto"/>
        <w:outlineLvl w:val="9"/>
        <w:rPr>
          <w:rFonts w:hint="eastAsia" w:ascii="Times New Roman" w:hAnsi="Times New Roman"/>
          <w:sz w:val="30"/>
          <w:szCs w:val="30"/>
          <w:highlight w:val="red"/>
        </w:rPr>
      </w:pPr>
    </w:p>
    <w:p>
      <w:pPr>
        <w:pStyle w:val="2"/>
        <w:rPr>
          <w:rFonts w:hint="eastAsia" w:ascii="Times New Roman" w:hAnsi="Times New Roman"/>
        </w:rPr>
      </w:pPr>
      <w:r>
        <w:rPr>
          <w:rFonts w:hint="eastAsia" w:ascii="Times New Roman" w:hAnsi="Times New Roman"/>
        </w:rPr>
        <w:t>合作团队与配套需求</w:t>
      </w:r>
    </w:p>
    <w:p>
      <w:pPr>
        <w:pStyle w:val="30"/>
        <w:keepNext w:val="0"/>
        <w:keepLines w:val="0"/>
        <w:pageBreakBefore w:val="0"/>
        <w:widowControl w:val="0"/>
        <w:numPr>
          <w:ilvl w:val="0"/>
          <w:numId w:val="4"/>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教授或副教授或相当专家，在移动通信领域具有深厚的积累</w:t>
      </w:r>
      <w:r>
        <w:rPr>
          <w:rFonts w:hint="eastAsia" w:ascii="仿宋" w:hAnsi="仿宋" w:eastAsia="仿宋" w:cs="仿宋"/>
          <w:b/>
          <w:color w:val="auto"/>
          <w:sz w:val="24"/>
          <w:szCs w:val="24"/>
        </w:rPr>
        <w:t>；</w:t>
      </w:r>
    </w:p>
    <w:p>
      <w:pPr>
        <w:pStyle w:val="30"/>
        <w:keepNext w:val="0"/>
        <w:keepLines w:val="0"/>
        <w:pageBreakBefore w:val="0"/>
        <w:widowControl w:val="0"/>
        <w:numPr>
          <w:ilvl w:val="0"/>
          <w:numId w:val="4"/>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每年至少投入若干名研究生及以上学历的学生或相关专家承担技术研究，</w:t>
      </w:r>
      <w:r>
        <w:rPr>
          <w:rFonts w:hint="eastAsia" w:ascii="仿宋" w:hAnsi="仿宋" w:eastAsia="仿宋" w:cs="仿宋"/>
          <w:b/>
          <w:bCs/>
          <w:color w:val="auto"/>
          <w:sz w:val="24"/>
          <w:szCs w:val="24"/>
        </w:rPr>
        <w:t>专业为电子科学与技术或信息与通信工程</w:t>
      </w:r>
      <w:r>
        <w:rPr>
          <w:rFonts w:hint="eastAsia" w:ascii="仿宋" w:hAnsi="仿宋" w:eastAsia="仿宋" w:cs="仿宋"/>
          <w:b/>
          <w:bCs/>
          <w:color w:val="auto"/>
          <w:sz w:val="24"/>
          <w:szCs w:val="24"/>
          <w:highlight w:val="none"/>
          <w:lang w:val="en-US" w:eastAsia="zh-CN"/>
        </w:rPr>
        <w:t>相关专业</w:t>
      </w:r>
      <w:r>
        <w:rPr>
          <w:rFonts w:hint="eastAsia" w:ascii="仿宋" w:hAnsi="仿宋" w:eastAsia="仿宋" w:cs="仿宋"/>
          <w:bCs/>
          <w:color w:val="auto"/>
          <w:sz w:val="24"/>
          <w:szCs w:val="24"/>
        </w:rPr>
        <w:t>，需分别具备</w:t>
      </w:r>
      <w:r>
        <w:rPr>
          <w:rFonts w:hint="eastAsia" w:ascii="仿宋" w:hAnsi="仿宋" w:eastAsia="仿宋" w:cs="仿宋"/>
          <w:bCs/>
          <w:color w:val="auto"/>
          <w:sz w:val="24"/>
          <w:szCs w:val="24"/>
          <w:lang w:val="en-US" w:eastAsia="zh-CN"/>
        </w:rPr>
        <w:t>算法研究、数据测试、硬件产品研究</w:t>
      </w:r>
      <w:r>
        <w:rPr>
          <w:rFonts w:hint="eastAsia" w:ascii="仿宋" w:hAnsi="仿宋" w:eastAsia="仿宋" w:cs="仿宋"/>
          <w:bCs/>
          <w:color w:val="auto"/>
          <w:sz w:val="24"/>
          <w:szCs w:val="24"/>
        </w:rPr>
        <w:t>和试验环境搭建能力、相关技术的理论分析和方案设计能力，保证项目进度和质量</w:t>
      </w:r>
      <w:r>
        <w:rPr>
          <w:rFonts w:hint="eastAsia" w:ascii="仿宋" w:hAnsi="仿宋" w:eastAsia="仿宋" w:cs="仿宋"/>
          <w:b/>
          <w:bCs/>
          <w:color w:val="auto"/>
          <w:sz w:val="24"/>
          <w:szCs w:val="24"/>
        </w:rPr>
        <w:t>。</w:t>
      </w:r>
    </w:p>
    <w:p>
      <w:pPr>
        <w:pStyle w:val="30"/>
        <w:keepNext w:val="0"/>
        <w:keepLines w:val="0"/>
        <w:pageBreakBefore w:val="0"/>
        <w:widowControl w:val="0"/>
        <w:numPr>
          <w:ilvl w:val="0"/>
          <w:numId w:val="4"/>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合作团队需具备</w:t>
      </w:r>
      <w:r>
        <w:rPr>
          <w:rFonts w:hint="eastAsia" w:ascii="仿宋" w:hAnsi="仿宋" w:eastAsia="仿宋" w:cs="仿宋"/>
          <w:bCs/>
          <w:color w:val="auto"/>
          <w:sz w:val="24"/>
          <w:szCs w:val="24"/>
          <w:lang w:val="en-US" w:eastAsia="zh-CN"/>
        </w:rPr>
        <w:t>星地融合组网、低轨卫星通信</w:t>
      </w:r>
      <w:r>
        <w:rPr>
          <w:rFonts w:hint="eastAsia" w:ascii="仿宋" w:hAnsi="仿宋" w:eastAsia="仿宋" w:cs="仿宋"/>
          <w:bCs/>
          <w:color w:val="auto"/>
          <w:sz w:val="24"/>
          <w:szCs w:val="24"/>
        </w:rPr>
        <w:t>系统</w:t>
      </w:r>
      <w:r>
        <w:rPr>
          <w:rFonts w:hint="eastAsia" w:ascii="仿宋" w:hAnsi="仿宋" w:eastAsia="仿宋" w:cs="仿宋"/>
          <w:bCs/>
          <w:color w:val="auto"/>
          <w:sz w:val="24"/>
          <w:szCs w:val="24"/>
          <w:lang w:eastAsia="zh-CN"/>
        </w:rPr>
        <w:t>、</w:t>
      </w:r>
      <w:r>
        <w:rPr>
          <w:rFonts w:hint="eastAsia" w:ascii="仿宋" w:hAnsi="仿宋" w:eastAsia="仿宋" w:cs="仿宋"/>
          <w:bCs/>
          <w:color w:val="auto"/>
          <w:sz w:val="24"/>
          <w:szCs w:val="24"/>
          <w:lang w:val="en-US" w:eastAsia="zh-CN"/>
        </w:rPr>
        <w:t>空天地一体化关键技术</w:t>
      </w:r>
      <w:r>
        <w:rPr>
          <w:rFonts w:hint="eastAsia" w:ascii="仿宋" w:hAnsi="仿宋" w:eastAsia="仿宋" w:cs="仿宋"/>
          <w:bCs/>
          <w:color w:val="auto"/>
          <w:sz w:val="24"/>
          <w:szCs w:val="24"/>
        </w:rPr>
        <w:t>相关前沿技术研究积累，以及</w:t>
      </w:r>
      <w:r>
        <w:rPr>
          <w:rFonts w:hint="eastAsia" w:ascii="仿宋" w:hAnsi="仿宋" w:eastAsia="仿宋" w:cs="仿宋"/>
          <w:bCs/>
          <w:color w:val="auto"/>
          <w:sz w:val="24"/>
          <w:szCs w:val="24"/>
          <w:lang w:val="en-US" w:eastAsia="zh-CN"/>
        </w:rPr>
        <w:t>空天地一体化技术方向试验验证、对应仿真验证</w:t>
      </w:r>
      <w:r>
        <w:rPr>
          <w:rFonts w:hint="eastAsia" w:ascii="仿宋" w:hAnsi="仿宋" w:eastAsia="仿宋" w:cs="仿宋"/>
          <w:bCs/>
          <w:color w:val="auto"/>
          <w:sz w:val="24"/>
          <w:szCs w:val="24"/>
        </w:rPr>
        <w:t>研发经验。</w:t>
      </w:r>
    </w:p>
    <w:p>
      <w:pPr>
        <w:pStyle w:val="30"/>
        <w:keepNext w:val="0"/>
        <w:keepLines w:val="0"/>
        <w:pageBreakBefore w:val="0"/>
        <w:widowControl w:val="0"/>
        <w:numPr>
          <w:ilvl w:val="0"/>
          <w:numId w:val="4"/>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合作团队需提供配套开发测试设备及实验室环境；实验室支持临时入驻办公、技术仿真验证和演示等科研实验条件。</w:t>
      </w:r>
    </w:p>
    <w:p>
      <w:pPr>
        <w:pStyle w:val="30"/>
        <w:keepNext w:val="0"/>
        <w:keepLines w:val="0"/>
        <w:pageBreakBefore w:val="0"/>
        <w:widowControl w:val="0"/>
        <w:numPr>
          <w:ilvl w:val="0"/>
          <w:numId w:val="4"/>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合作团队需提供配套开发测试设备及实验室环境；实验室支持临时入驻办公、技术仿真验证和演示等科研实验条件。</w:t>
      </w:r>
    </w:p>
    <w:p>
      <w:pPr>
        <w:spacing w:line="588" w:lineRule="exact"/>
        <w:rPr>
          <w:rFonts w:ascii="Times New Roman" w:hAnsi="Times New Roman" w:eastAsia="宋体"/>
          <w:bCs/>
          <w:color w:val="FF0000"/>
          <w:sz w:val="28"/>
          <w:szCs w:val="28"/>
        </w:rPr>
      </w:pPr>
    </w:p>
    <w:p>
      <w:pPr>
        <w:pStyle w:val="2"/>
        <w:rPr>
          <w:rFonts w:ascii="Times New Roman" w:hAnsi="Times New Roman" w:eastAsia="宋体"/>
          <w:b/>
        </w:rPr>
      </w:pPr>
      <w:r>
        <w:rPr>
          <w:rFonts w:hint="eastAsia" w:ascii="Times New Roman" w:hAnsi="Times New Roman" w:eastAsia="宋体"/>
          <w:b/>
        </w:rPr>
        <w:t>知识产权要求</w:t>
      </w:r>
    </w:p>
    <w:p>
      <w:pPr>
        <w:pStyle w:val="30"/>
        <w:ind w:firstLine="0" w:firstLineChars="0"/>
        <w:rPr>
          <w:rFonts w:ascii="Times New Roman" w:hAnsi="Times New Roman" w:eastAsia="宋体"/>
          <w:sz w:val="32"/>
          <w:szCs w:val="32"/>
        </w:rPr>
      </w:pPr>
      <w:r>
        <w:rPr>
          <w:rFonts w:hint="default" w:ascii="Times New Roman" w:hAnsi="Times New Roman" w:eastAsia="宋体"/>
          <w:sz w:val="32"/>
          <w:szCs w:val="32"/>
        </w:rPr>
        <w:t>-------------------</w:t>
      </w:r>
    </w:p>
    <w:p>
      <w:pPr>
        <w:pStyle w:val="30"/>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附：知识产权说明</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1.1甲乙双方同意并确认，一方原有的技术成果及其相关知识产权归原持有方所有；</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1.2甲乙双方同意并确认，甲乙双方合作过程中产生的技术成果及其相关知识产权遵循课题任务书合同的约定，但不得约定除本协议甲方独有、本协议甲乙双方共有以外的其他知识产权归属情形。知识产权申请、维护过程中产生的相关费用在甲方投入到联合实验室的经费中列支。联合实验室合作结束后，甲乙双方可对联合实验室设立运行期间产生的已有的共有知识产权权益（包括不限于维持费用）另行约定；</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1.3联合实验室合作结束后，任何一方均可在联合实验室运行期间产生的甲乙双方共有成果的基础上自行开展研究，由此产生的研究成果（以下称为“自研成果”）及其相关知识产权归完成方所有，不视为联合实验室项目范围内的成果，不归甲乙双方共有。</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2.使用权约定</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2.1 如联合实验室下课题任务书合同中约定知识产权归甲方独有的：</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（1）甲方可免费自用实施知识产权，甲方的关联公司实施的，视为甲方自用实施；</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（2）乙方可利用甲方独有知识产权开展研发相关工作，后续研发成果由乙方所有。</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2.2 双方共有知识产权：</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（1）甲方可免费自用实施双方共有知识产权，范围包括所有中国移动关联公司的实施；</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（2）乙方可利用双方共有知识产权开展研发相关工作，后续研发成果由乙方所有；</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（3）甲方拥有共有知识产权的运营权利。乙方拥有知识产权运营的收益分成的权利，具体分配方案另行约定；</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（4）乙方征得甲方同意可对共有知识产权开展许可运营。甲方拥有许可运营的收益分成的权利，具体分配方案另行约定。</w:t>
      </w:r>
    </w:p>
    <w:p>
      <w:pPr>
        <w:pStyle w:val="30"/>
        <w:ind w:firstLine="0" w:firstLineChars="0"/>
        <w:rPr>
          <w:rFonts w:ascii="Times New Roman" w:hAnsi="Times New Roman" w:eastAsia="宋体"/>
          <w:sz w:val="32"/>
          <w:szCs w:val="32"/>
        </w:rPr>
      </w:pPr>
      <w:r>
        <w:rPr>
          <w:rFonts w:hint="default" w:ascii="Times New Roman" w:hAnsi="Times New Roman" w:eastAsia="宋体"/>
          <w:sz w:val="32"/>
          <w:szCs w:val="32"/>
        </w:rPr>
        <w:t>---------------</w:t>
      </w:r>
    </w:p>
    <w:p>
      <w:pPr>
        <w:pStyle w:val="2"/>
        <w:rPr>
          <w:rFonts w:ascii="Times New Roman" w:hAnsi="Times New Roman" w:eastAsia="宋体"/>
          <w:b/>
        </w:rPr>
      </w:pPr>
      <w:r>
        <w:rPr>
          <w:rFonts w:hint="eastAsia" w:ascii="Times New Roman" w:hAnsi="Times New Roman" w:eastAsia="宋体"/>
          <w:b/>
        </w:rPr>
        <w:t>其他说明</w:t>
      </w:r>
    </w:p>
    <w:p>
      <w:pPr>
        <w:spacing w:line="480" w:lineRule="auto"/>
        <w:jc w:val="left"/>
        <w:rPr>
          <w:rFonts w:hint="default" w:ascii="Times New Roman" w:eastAsia="宋体"/>
          <w:b/>
          <w:sz w:val="28"/>
          <w:szCs w:val="28"/>
          <w:lang w:val="en-US" w:eastAsia="zh-CN"/>
        </w:rPr>
      </w:pPr>
      <w:r>
        <w:rPr>
          <w:rFonts w:hint="eastAsia" w:eastAsia="宋体"/>
          <w:b/>
          <w:sz w:val="28"/>
          <w:szCs w:val="28"/>
          <w:lang w:val="en-US" w:eastAsia="zh-CN"/>
        </w:rPr>
        <w:t>该课题预计投入金额为1年40万</w:t>
      </w:r>
    </w:p>
    <w:p>
      <w:pPr>
        <w:spacing w:line="580" w:lineRule="exact"/>
        <w:outlineLvl w:val="2"/>
        <w:rPr>
          <w:rFonts w:ascii="Times New Roman" w:hAnsi="Times New Roman" w:eastAsia="仿宋_GB2312"/>
          <w:sz w:val="32"/>
          <w:szCs w:val="32"/>
        </w:rPr>
      </w:pPr>
    </w:p>
    <w:sectPr>
      <w:pgSz w:w="11906" w:h="16838"/>
      <w:pgMar w:top="1361" w:right="1797" w:bottom="1361" w:left="1797" w:header="851" w:footer="992" w:gutter="0"/>
      <w:pgNumType w:start="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00"/>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华文楷体">
    <w:panose1 w:val="02010600040101010101"/>
    <w:charset w:val="86"/>
    <w:family w:val="auto"/>
    <w:pitch w:val="default"/>
    <w:sig w:usb0="00000287" w:usb1="080F0000" w:usb2="00000000" w:usb3="00000000" w:csb0="0004009F" w:csb1="DFD70000"/>
  </w:font>
  <w:font w:name="ヒラギノ角ゴ Pro W3">
    <w:altName w:val="Times New Roman"/>
    <w:panose1 w:val="00000000000000000000"/>
    <w:charset w:val="00"/>
    <w:family w:val="roman"/>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rPr>
        <w:rFonts w:hint="eastAsia"/>
      </w:rP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D15E0E"/>
    <w:multiLevelType w:val="singleLevel"/>
    <w:tmpl w:val="20D15E0E"/>
    <w:lvl w:ilvl="0" w:tentative="0">
      <w:start w:val="1"/>
      <w:numFmt w:val="decimal"/>
      <w:suff w:val="space"/>
      <w:lvlText w:val="%1."/>
      <w:lvlJc w:val="left"/>
    </w:lvl>
  </w:abstractNum>
  <w:abstractNum w:abstractNumId="1">
    <w:nsid w:val="4C1E71DA"/>
    <w:multiLevelType w:val="multilevel"/>
    <w:tmpl w:val="4C1E71DA"/>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50F63DE7"/>
    <w:multiLevelType w:val="multilevel"/>
    <w:tmpl w:val="50F63DE7"/>
    <w:lvl w:ilvl="0" w:tentative="0">
      <w:start w:val="1"/>
      <w:numFmt w:val="decimal"/>
      <w:lvlText w:val="%1、"/>
      <w:lvlJc w:val="left"/>
      <w:pPr>
        <w:ind w:left="1140" w:hanging="7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62732CC1"/>
    <w:multiLevelType w:val="multilevel"/>
    <w:tmpl w:val="62732CC1"/>
    <w:lvl w:ilvl="0" w:tentative="0">
      <w:start w:val="1"/>
      <w:numFmt w:val="japaneseCounting"/>
      <w:pStyle w:val="2"/>
      <w:lvlText w:val="%1、"/>
      <w:lvlJc w:val="left"/>
      <w:pPr>
        <w:ind w:left="740" w:hanging="740"/>
      </w:pPr>
      <w:rPr>
        <w:rFonts w:ascii="仿宋_GB2312" w:hAnsi="仿宋" w:eastAsia="仿宋_GB2312" w:cs="Times New Roman"/>
      </w:rPr>
    </w:lvl>
    <w:lvl w:ilvl="1" w:tentative="0">
      <w:start w:val="1"/>
      <w:numFmt w:val="chineseCountingThousand"/>
      <w:lvlText w:val="(%2)"/>
      <w:lvlJc w:val="left"/>
      <w:pPr>
        <w:ind w:left="840" w:hanging="420"/>
      </w:pPr>
    </w:lvl>
    <w:lvl w:ilvl="2" w:tentative="0">
      <w:start w:val="1"/>
      <w:numFmt w:val="decimal"/>
      <w:lvlText w:val="%3."/>
      <w:lvlJc w:val="left"/>
      <w:pPr>
        <w:ind w:left="1260" w:hanging="420"/>
      </w:pPr>
    </w:lvl>
    <w:lvl w:ilvl="3" w:tentative="0">
      <w:start w:val="1"/>
      <w:numFmt w:val="decimal"/>
      <w:lvlText w:val="（%4）"/>
      <w:lvlJc w:val="left"/>
      <w:pPr>
        <w:ind w:left="1980" w:hanging="72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7EwNTIzNTQzNzYzN7dQ0lEKTi0uzszPAykwrAUA/ioyvCwAAAA="/>
  </w:docVars>
  <w:rsids>
    <w:rsidRoot w:val="00071D7C"/>
    <w:rsid w:val="00001706"/>
    <w:rsid w:val="00003B8D"/>
    <w:rsid w:val="00010577"/>
    <w:rsid w:val="0001197B"/>
    <w:rsid w:val="00012DA1"/>
    <w:rsid w:val="00013908"/>
    <w:rsid w:val="00022FFB"/>
    <w:rsid w:val="00023AF1"/>
    <w:rsid w:val="00023EE5"/>
    <w:rsid w:val="00024BBA"/>
    <w:rsid w:val="00025327"/>
    <w:rsid w:val="00030876"/>
    <w:rsid w:val="00031F2A"/>
    <w:rsid w:val="000349C8"/>
    <w:rsid w:val="00034C9F"/>
    <w:rsid w:val="000356CB"/>
    <w:rsid w:val="000378CF"/>
    <w:rsid w:val="00040BFC"/>
    <w:rsid w:val="0004113E"/>
    <w:rsid w:val="00045275"/>
    <w:rsid w:val="00046C41"/>
    <w:rsid w:val="00050F80"/>
    <w:rsid w:val="00052FD7"/>
    <w:rsid w:val="00055985"/>
    <w:rsid w:val="00056263"/>
    <w:rsid w:val="000577C1"/>
    <w:rsid w:val="00057A82"/>
    <w:rsid w:val="00062004"/>
    <w:rsid w:val="000648AA"/>
    <w:rsid w:val="00071D7C"/>
    <w:rsid w:val="0007515F"/>
    <w:rsid w:val="00076AD8"/>
    <w:rsid w:val="000813DA"/>
    <w:rsid w:val="00087941"/>
    <w:rsid w:val="00091F51"/>
    <w:rsid w:val="00093562"/>
    <w:rsid w:val="0009423E"/>
    <w:rsid w:val="000A38AE"/>
    <w:rsid w:val="000B11AC"/>
    <w:rsid w:val="000B5279"/>
    <w:rsid w:val="000B5BA2"/>
    <w:rsid w:val="000B7814"/>
    <w:rsid w:val="000C4290"/>
    <w:rsid w:val="000D0BB9"/>
    <w:rsid w:val="000D3362"/>
    <w:rsid w:val="000E1723"/>
    <w:rsid w:val="000E37FE"/>
    <w:rsid w:val="000F514A"/>
    <w:rsid w:val="00100DC9"/>
    <w:rsid w:val="00101409"/>
    <w:rsid w:val="00103C31"/>
    <w:rsid w:val="00105736"/>
    <w:rsid w:val="0011102E"/>
    <w:rsid w:val="0011585E"/>
    <w:rsid w:val="00120596"/>
    <w:rsid w:val="0012174F"/>
    <w:rsid w:val="00122199"/>
    <w:rsid w:val="001405C8"/>
    <w:rsid w:val="00142D64"/>
    <w:rsid w:val="00145024"/>
    <w:rsid w:val="00145CDB"/>
    <w:rsid w:val="00151E3A"/>
    <w:rsid w:val="001536A3"/>
    <w:rsid w:val="001553FF"/>
    <w:rsid w:val="00157451"/>
    <w:rsid w:val="00164CF6"/>
    <w:rsid w:val="0017123F"/>
    <w:rsid w:val="00171700"/>
    <w:rsid w:val="001816A7"/>
    <w:rsid w:val="00185B55"/>
    <w:rsid w:val="00192B55"/>
    <w:rsid w:val="001934EE"/>
    <w:rsid w:val="00195390"/>
    <w:rsid w:val="001965F3"/>
    <w:rsid w:val="001B01E4"/>
    <w:rsid w:val="001B1A04"/>
    <w:rsid w:val="001B1A06"/>
    <w:rsid w:val="001B5D0A"/>
    <w:rsid w:val="001C1B68"/>
    <w:rsid w:val="001C4AE7"/>
    <w:rsid w:val="001C57FC"/>
    <w:rsid w:val="001C6768"/>
    <w:rsid w:val="001D790F"/>
    <w:rsid w:val="001D7C8C"/>
    <w:rsid w:val="001E5CB6"/>
    <w:rsid w:val="001E749F"/>
    <w:rsid w:val="001F0F85"/>
    <w:rsid w:val="001F4D7C"/>
    <w:rsid w:val="001F5F67"/>
    <w:rsid w:val="001F6E50"/>
    <w:rsid w:val="00210BEA"/>
    <w:rsid w:val="00217651"/>
    <w:rsid w:val="00217F64"/>
    <w:rsid w:val="00220142"/>
    <w:rsid w:val="002214EF"/>
    <w:rsid w:val="002221A7"/>
    <w:rsid w:val="00231737"/>
    <w:rsid w:val="002318D4"/>
    <w:rsid w:val="00233CF7"/>
    <w:rsid w:val="00233F00"/>
    <w:rsid w:val="00252CBD"/>
    <w:rsid w:val="0026612F"/>
    <w:rsid w:val="002677AD"/>
    <w:rsid w:val="00267E69"/>
    <w:rsid w:val="00270FE1"/>
    <w:rsid w:val="00275274"/>
    <w:rsid w:val="00275DC5"/>
    <w:rsid w:val="002802EA"/>
    <w:rsid w:val="00281004"/>
    <w:rsid w:val="002852DC"/>
    <w:rsid w:val="00285784"/>
    <w:rsid w:val="00285B85"/>
    <w:rsid w:val="00285D21"/>
    <w:rsid w:val="00287FDA"/>
    <w:rsid w:val="00293DB4"/>
    <w:rsid w:val="00294B7A"/>
    <w:rsid w:val="002A2EA5"/>
    <w:rsid w:val="002B016B"/>
    <w:rsid w:val="002B3B71"/>
    <w:rsid w:val="002B4087"/>
    <w:rsid w:val="002B5B37"/>
    <w:rsid w:val="002C0509"/>
    <w:rsid w:val="002C14D9"/>
    <w:rsid w:val="002C4068"/>
    <w:rsid w:val="002C689F"/>
    <w:rsid w:val="002D0040"/>
    <w:rsid w:val="002D2144"/>
    <w:rsid w:val="002D4D7A"/>
    <w:rsid w:val="002D7FAD"/>
    <w:rsid w:val="002E480F"/>
    <w:rsid w:val="002E5F15"/>
    <w:rsid w:val="002E61E8"/>
    <w:rsid w:val="002F0817"/>
    <w:rsid w:val="002F2346"/>
    <w:rsid w:val="002F3367"/>
    <w:rsid w:val="002F3CD8"/>
    <w:rsid w:val="002F4683"/>
    <w:rsid w:val="002F6DF8"/>
    <w:rsid w:val="002F6F98"/>
    <w:rsid w:val="003005D9"/>
    <w:rsid w:val="00303AA9"/>
    <w:rsid w:val="00304C91"/>
    <w:rsid w:val="003056FB"/>
    <w:rsid w:val="00305A80"/>
    <w:rsid w:val="00312A6D"/>
    <w:rsid w:val="003135B8"/>
    <w:rsid w:val="00314D64"/>
    <w:rsid w:val="0031520F"/>
    <w:rsid w:val="003162A8"/>
    <w:rsid w:val="0031681C"/>
    <w:rsid w:val="00320078"/>
    <w:rsid w:val="00320B7F"/>
    <w:rsid w:val="00321794"/>
    <w:rsid w:val="00321A05"/>
    <w:rsid w:val="00323D2C"/>
    <w:rsid w:val="003338A0"/>
    <w:rsid w:val="003339C0"/>
    <w:rsid w:val="00334CE0"/>
    <w:rsid w:val="00335D8A"/>
    <w:rsid w:val="00336346"/>
    <w:rsid w:val="00336901"/>
    <w:rsid w:val="00342C85"/>
    <w:rsid w:val="00355C22"/>
    <w:rsid w:val="00356EA5"/>
    <w:rsid w:val="003603A9"/>
    <w:rsid w:val="0036199B"/>
    <w:rsid w:val="00363477"/>
    <w:rsid w:val="0036378F"/>
    <w:rsid w:val="00363E0C"/>
    <w:rsid w:val="00371133"/>
    <w:rsid w:val="0037443C"/>
    <w:rsid w:val="003745D6"/>
    <w:rsid w:val="0037467F"/>
    <w:rsid w:val="00376613"/>
    <w:rsid w:val="00387238"/>
    <w:rsid w:val="00391330"/>
    <w:rsid w:val="003939EE"/>
    <w:rsid w:val="00396110"/>
    <w:rsid w:val="003964B6"/>
    <w:rsid w:val="003A0DA6"/>
    <w:rsid w:val="003A6C6D"/>
    <w:rsid w:val="003B0606"/>
    <w:rsid w:val="003B4E10"/>
    <w:rsid w:val="003B520B"/>
    <w:rsid w:val="003C699A"/>
    <w:rsid w:val="003D1D70"/>
    <w:rsid w:val="003D3B5D"/>
    <w:rsid w:val="003D74CF"/>
    <w:rsid w:val="003E29B7"/>
    <w:rsid w:val="003E3A67"/>
    <w:rsid w:val="003E3C14"/>
    <w:rsid w:val="003E52AD"/>
    <w:rsid w:val="003F0532"/>
    <w:rsid w:val="003F079B"/>
    <w:rsid w:val="003F0D37"/>
    <w:rsid w:val="003F0D49"/>
    <w:rsid w:val="003F5270"/>
    <w:rsid w:val="003F7C2A"/>
    <w:rsid w:val="00400EEB"/>
    <w:rsid w:val="00401DFA"/>
    <w:rsid w:val="00402997"/>
    <w:rsid w:val="004039F2"/>
    <w:rsid w:val="00404ED9"/>
    <w:rsid w:val="00411FDD"/>
    <w:rsid w:val="0041277C"/>
    <w:rsid w:val="00414AD6"/>
    <w:rsid w:val="004218F4"/>
    <w:rsid w:val="00423C1B"/>
    <w:rsid w:val="00426722"/>
    <w:rsid w:val="0042750A"/>
    <w:rsid w:val="00436909"/>
    <w:rsid w:val="00443880"/>
    <w:rsid w:val="00450C16"/>
    <w:rsid w:val="00454DFA"/>
    <w:rsid w:val="00454E9C"/>
    <w:rsid w:val="00455471"/>
    <w:rsid w:val="00456490"/>
    <w:rsid w:val="00462230"/>
    <w:rsid w:val="004625C1"/>
    <w:rsid w:val="0046277B"/>
    <w:rsid w:val="004629D7"/>
    <w:rsid w:val="004633D8"/>
    <w:rsid w:val="00463C88"/>
    <w:rsid w:val="004649B9"/>
    <w:rsid w:val="00464EA7"/>
    <w:rsid w:val="004674A5"/>
    <w:rsid w:val="004674CB"/>
    <w:rsid w:val="004675D5"/>
    <w:rsid w:val="004704D1"/>
    <w:rsid w:val="0047204B"/>
    <w:rsid w:val="0047706D"/>
    <w:rsid w:val="00477C0C"/>
    <w:rsid w:val="00481429"/>
    <w:rsid w:val="00482A51"/>
    <w:rsid w:val="00492E42"/>
    <w:rsid w:val="004964B6"/>
    <w:rsid w:val="004A086D"/>
    <w:rsid w:val="004A1BE9"/>
    <w:rsid w:val="004A2BDA"/>
    <w:rsid w:val="004A5584"/>
    <w:rsid w:val="004B4136"/>
    <w:rsid w:val="004C11DB"/>
    <w:rsid w:val="004C2AF2"/>
    <w:rsid w:val="004C2E3C"/>
    <w:rsid w:val="004C5D59"/>
    <w:rsid w:val="004C6A84"/>
    <w:rsid w:val="004C70F6"/>
    <w:rsid w:val="004C7E9A"/>
    <w:rsid w:val="004D68B6"/>
    <w:rsid w:val="004E5460"/>
    <w:rsid w:val="004E56A7"/>
    <w:rsid w:val="004F764E"/>
    <w:rsid w:val="00505F4F"/>
    <w:rsid w:val="00506888"/>
    <w:rsid w:val="00510B1F"/>
    <w:rsid w:val="0051126E"/>
    <w:rsid w:val="00513BB7"/>
    <w:rsid w:val="0051769F"/>
    <w:rsid w:val="0052111B"/>
    <w:rsid w:val="00524F4F"/>
    <w:rsid w:val="0052536A"/>
    <w:rsid w:val="00525730"/>
    <w:rsid w:val="00530E36"/>
    <w:rsid w:val="00534582"/>
    <w:rsid w:val="005367B7"/>
    <w:rsid w:val="00540B33"/>
    <w:rsid w:val="00540E03"/>
    <w:rsid w:val="00545946"/>
    <w:rsid w:val="00546AA6"/>
    <w:rsid w:val="005506D8"/>
    <w:rsid w:val="00550ACF"/>
    <w:rsid w:val="005574F5"/>
    <w:rsid w:val="00563A11"/>
    <w:rsid w:val="0056550C"/>
    <w:rsid w:val="00566C37"/>
    <w:rsid w:val="00567B2C"/>
    <w:rsid w:val="00572951"/>
    <w:rsid w:val="00576C63"/>
    <w:rsid w:val="0058062A"/>
    <w:rsid w:val="005810E2"/>
    <w:rsid w:val="0058298A"/>
    <w:rsid w:val="00585E20"/>
    <w:rsid w:val="00586E24"/>
    <w:rsid w:val="00590112"/>
    <w:rsid w:val="00590ECE"/>
    <w:rsid w:val="00591182"/>
    <w:rsid w:val="005919AD"/>
    <w:rsid w:val="00593020"/>
    <w:rsid w:val="005962F1"/>
    <w:rsid w:val="005A63D6"/>
    <w:rsid w:val="005B42BE"/>
    <w:rsid w:val="005C0B5D"/>
    <w:rsid w:val="005C0CBD"/>
    <w:rsid w:val="005C20B5"/>
    <w:rsid w:val="005C41B2"/>
    <w:rsid w:val="005C6813"/>
    <w:rsid w:val="005D2A40"/>
    <w:rsid w:val="005D5262"/>
    <w:rsid w:val="005D58AE"/>
    <w:rsid w:val="005E4858"/>
    <w:rsid w:val="005F029B"/>
    <w:rsid w:val="005F02C9"/>
    <w:rsid w:val="005F256A"/>
    <w:rsid w:val="005F3845"/>
    <w:rsid w:val="005F3CCD"/>
    <w:rsid w:val="005F58C9"/>
    <w:rsid w:val="005F7658"/>
    <w:rsid w:val="005F797F"/>
    <w:rsid w:val="006017BF"/>
    <w:rsid w:val="00602753"/>
    <w:rsid w:val="00603BCC"/>
    <w:rsid w:val="006050BC"/>
    <w:rsid w:val="0060593E"/>
    <w:rsid w:val="006079DE"/>
    <w:rsid w:val="00615C44"/>
    <w:rsid w:val="00617135"/>
    <w:rsid w:val="0062439E"/>
    <w:rsid w:val="00625B2B"/>
    <w:rsid w:val="00633255"/>
    <w:rsid w:val="0063339B"/>
    <w:rsid w:val="00637131"/>
    <w:rsid w:val="006379F7"/>
    <w:rsid w:val="00643C80"/>
    <w:rsid w:val="00644A76"/>
    <w:rsid w:val="0065072E"/>
    <w:rsid w:val="00652927"/>
    <w:rsid w:val="00652EA1"/>
    <w:rsid w:val="00652F8E"/>
    <w:rsid w:val="00654C86"/>
    <w:rsid w:val="0066529E"/>
    <w:rsid w:val="006670E7"/>
    <w:rsid w:val="006678BD"/>
    <w:rsid w:val="00671701"/>
    <w:rsid w:val="00671E95"/>
    <w:rsid w:val="006775F7"/>
    <w:rsid w:val="00677ACD"/>
    <w:rsid w:val="00682061"/>
    <w:rsid w:val="0068465F"/>
    <w:rsid w:val="006854AA"/>
    <w:rsid w:val="0068616B"/>
    <w:rsid w:val="00687535"/>
    <w:rsid w:val="006953BD"/>
    <w:rsid w:val="00695ECE"/>
    <w:rsid w:val="006A172B"/>
    <w:rsid w:val="006A2636"/>
    <w:rsid w:val="006A2B12"/>
    <w:rsid w:val="006A5819"/>
    <w:rsid w:val="006A63D1"/>
    <w:rsid w:val="006B2D73"/>
    <w:rsid w:val="006C1B42"/>
    <w:rsid w:val="006C3843"/>
    <w:rsid w:val="006C7F0C"/>
    <w:rsid w:val="006D330F"/>
    <w:rsid w:val="006D5087"/>
    <w:rsid w:val="006D5880"/>
    <w:rsid w:val="006E0A33"/>
    <w:rsid w:val="006E0D19"/>
    <w:rsid w:val="006F3B79"/>
    <w:rsid w:val="006F625F"/>
    <w:rsid w:val="00700F56"/>
    <w:rsid w:val="00704B18"/>
    <w:rsid w:val="00705AF3"/>
    <w:rsid w:val="0071436A"/>
    <w:rsid w:val="00717972"/>
    <w:rsid w:val="00717B91"/>
    <w:rsid w:val="00721201"/>
    <w:rsid w:val="00721473"/>
    <w:rsid w:val="0072716C"/>
    <w:rsid w:val="0073135B"/>
    <w:rsid w:val="00742416"/>
    <w:rsid w:val="00743217"/>
    <w:rsid w:val="007500CD"/>
    <w:rsid w:val="007542E6"/>
    <w:rsid w:val="00754BD9"/>
    <w:rsid w:val="00763FB0"/>
    <w:rsid w:val="00763FFA"/>
    <w:rsid w:val="00776F38"/>
    <w:rsid w:val="007847A8"/>
    <w:rsid w:val="007869DD"/>
    <w:rsid w:val="00790862"/>
    <w:rsid w:val="00797323"/>
    <w:rsid w:val="007B1179"/>
    <w:rsid w:val="007B68A5"/>
    <w:rsid w:val="007C283A"/>
    <w:rsid w:val="007C2CE9"/>
    <w:rsid w:val="007C4048"/>
    <w:rsid w:val="007C76E0"/>
    <w:rsid w:val="007C7B8D"/>
    <w:rsid w:val="007E0B4C"/>
    <w:rsid w:val="007E1AD9"/>
    <w:rsid w:val="007E2B64"/>
    <w:rsid w:val="007E31B6"/>
    <w:rsid w:val="007E3675"/>
    <w:rsid w:val="007E70BB"/>
    <w:rsid w:val="007E7E9A"/>
    <w:rsid w:val="007F3E4F"/>
    <w:rsid w:val="007F5756"/>
    <w:rsid w:val="00800390"/>
    <w:rsid w:val="00813AAA"/>
    <w:rsid w:val="00816146"/>
    <w:rsid w:val="0081752C"/>
    <w:rsid w:val="00822F5E"/>
    <w:rsid w:val="00823320"/>
    <w:rsid w:val="00824661"/>
    <w:rsid w:val="00826456"/>
    <w:rsid w:val="00832753"/>
    <w:rsid w:val="00833592"/>
    <w:rsid w:val="00837000"/>
    <w:rsid w:val="008406CB"/>
    <w:rsid w:val="00840E09"/>
    <w:rsid w:val="00852144"/>
    <w:rsid w:val="0085380C"/>
    <w:rsid w:val="00865DF8"/>
    <w:rsid w:val="00873C71"/>
    <w:rsid w:val="00873F33"/>
    <w:rsid w:val="00877644"/>
    <w:rsid w:val="00884E49"/>
    <w:rsid w:val="00886754"/>
    <w:rsid w:val="008906A3"/>
    <w:rsid w:val="0089090D"/>
    <w:rsid w:val="00890EBF"/>
    <w:rsid w:val="00895438"/>
    <w:rsid w:val="008A0C19"/>
    <w:rsid w:val="008A0D8B"/>
    <w:rsid w:val="008A0F23"/>
    <w:rsid w:val="008A546D"/>
    <w:rsid w:val="008B643E"/>
    <w:rsid w:val="008B68FF"/>
    <w:rsid w:val="008B7154"/>
    <w:rsid w:val="008C3067"/>
    <w:rsid w:val="008C34DC"/>
    <w:rsid w:val="008C3972"/>
    <w:rsid w:val="008C6289"/>
    <w:rsid w:val="008C64B8"/>
    <w:rsid w:val="008D0E87"/>
    <w:rsid w:val="008D24A9"/>
    <w:rsid w:val="008D4019"/>
    <w:rsid w:val="008E2012"/>
    <w:rsid w:val="008E556A"/>
    <w:rsid w:val="008E6F1B"/>
    <w:rsid w:val="008F2338"/>
    <w:rsid w:val="008F2590"/>
    <w:rsid w:val="008F3E51"/>
    <w:rsid w:val="008F4DDA"/>
    <w:rsid w:val="00900744"/>
    <w:rsid w:val="00900757"/>
    <w:rsid w:val="00910A04"/>
    <w:rsid w:val="0091445C"/>
    <w:rsid w:val="0091446F"/>
    <w:rsid w:val="00930D0C"/>
    <w:rsid w:val="0093385A"/>
    <w:rsid w:val="00933A3E"/>
    <w:rsid w:val="0093655E"/>
    <w:rsid w:val="00943A1F"/>
    <w:rsid w:val="0094405E"/>
    <w:rsid w:val="00944133"/>
    <w:rsid w:val="00944581"/>
    <w:rsid w:val="00945D40"/>
    <w:rsid w:val="00946C67"/>
    <w:rsid w:val="0095095D"/>
    <w:rsid w:val="00953CD2"/>
    <w:rsid w:val="00955E79"/>
    <w:rsid w:val="00960E6F"/>
    <w:rsid w:val="00961AFD"/>
    <w:rsid w:val="009642E4"/>
    <w:rsid w:val="0096654C"/>
    <w:rsid w:val="00972051"/>
    <w:rsid w:val="009726CE"/>
    <w:rsid w:val="00973451"/>
    <w:rsid w:val="00985050"/>
    <w:rsid w:val="009908FD"/>
    <w:rsid w:val="00990C14"/>
    <w:rsid w:val="00991E25"/>
    <w:rsid w:val="0099316D"/>
    <w:rsid w:val="009934C3"/>
    <w:rsid w:val="00996C27"/>
    <w:rsid w:val="009A1030"/>
    <w:rsid w:val="009A2E5B"/>
    <w:rsid w:val="009A35F4"/>
    <w:rsid w:val="009B1274"/>
    <w:rsid w:val="009B302C"/>
    <w:rsid w:val="009B503D"/>
    <w:rsid w:val="009C1509"/>
    <w:rsid w:val="009C23B3"/>
    <w:rsid w:val="009C3463"/>
    <w:rsid w:val="009C67E3"/>
    <w:rsid w:val="009D1124"/>
    <w:rsid w:val="009D1AF9"/>
    <w:rsid w:val="009D2A09"/>
    <w:rsid w:val="009D3491"/>
    <w:rsid w:val="009D3A9F"/>
    <w:rsid w:val="009D3C27"/>
    <w:rsid w:val="009E0792"/>
    <w:rsid w:val="009E2785"/>
    <w:rsid w:val="009E2EB6"/>
    <w:rsid w:val="009E601D"/>
    <w:rsid w:val="009E6D62"/>
    <w:rsid w:val="009F2CDC"/>
    <w:rsid w:val="009F36A6"/>
    <w:rsid w:val="009F6A29"/>
    <w:rsid w:val="00A0242B"/>
    <w:rsid w:val="00A04592"/>
    <w:rsid w:val="00A0490F"/>
    <w:rsid w:val="00A150AB"/>
    <w:rsid w:val="00A16A41"/>
    <w:rsid w:val="00A16E3D"/>
    <w:rsid w:val="00A17266"/>
    <w:rsid w:val="00A2072F"/>
    <w:rsid w:val="00A229BB"/>
    <w:rsid w:val="00A33063"/>
    <w:rsid w:val="00A36CDA"/>
    <w:rsid w:val="00A423B5"/>
    <w:rsid w:val="00A42FCA"/>
    <w:rsid w:val="00A44B9E"/>
    <w:rsid w:val="00A460AE"/>
    <w:rsid w:val="00A54B65"/>
    <w:rsid w:val="00A561F8"/>
    <w:rsid w:val="00A73BEC"/>
    <w:rsid w:val="00A74BF6"/>
    <w:rsid w:val="00A81FB6"/>
    <w:rsid w:val="00A8367C"/>
    <w:rsid w:val="00A838FD"/>
    <w:rsid w:val="00A84AC0"/>
    <w:rsid w:val="00A867E5"/>
    <w:rsid w:val="00A86A64"/>
    <w:rsid w:val="00A87A2B"/>
    <w:rsid w:val="00A90AA2"/>
    <w:rsid w:val="00A92F9B"/>
    <w:rsid w:val="00A93BA5"/>
    <w:rsid w:val="00A95488"/>
    <w:rsid w:val="00AA3E92"/>
    <w:rsid w:val="00AA62FB"/>
    <w:rsid w:val="00AA6E20"/>
    <w:rsid w:val="00AA7AAC"/>
    <w:rsid w:val="00AB2D35"/>
    <w:rsid w:val="00AB30C8"/>
    <w:rsid w:val="00AB37CE"/>
    <w:rsid w:val="00AB6A67"/>
    <w:rsid w:val="00AC4C33"/>
    <w:rsid w:val="00AC58CA"/>
    <w:rsid w:val="00AC7DEA"/>
    <w:rsid w:val="00AE0979"/>
    <w:rsid w:val="00AE18BA"/>
    <w:rsid w:val="00AE245E"/>
    <w:rsid w:val="00AF09DE"/>
    <w:rsid w:val="00B0233A"/>
    <w:rsid w:val="00B049F0"/>
    <w:rsid w:val="00B05EB8"/>
    <w:rsid w:val="00B06CE4"/>
    <w:rsid w:val="00B13679"/>
    <w:rsid w:val="00B14A6A"/>
    <w:rsid w:val="00B16B67"/>
    <w:rsid w:val="00B272CE"/>
    <w:rsid w:val="00B327A0"/>
    <w:rsid w:val="00B347E1"/>
    <w:rsid w:val="00B42D74"/>
    <w:rsid w:val="00B459A5"/>
    <w:rsid w:val="00B4718A"/>
    <w:rsid w:val="00B507B0"/>
    <w:rsid w:val="00B518FA"/>
    <w:rsid w:val="00B56474"/>
    <w:rsid w:val="00B56D5C"/>
    <w:rsid w:val="00B577C5"/>
    <w:rsid w:val="00B60959"/>
    <w:rsid w:val="00B62938"/>
    <w:rsid w:val="00B644A5"/>
    <w:rsid w:val="00B64637"/>
    <w:rsid w:val="00B65A10"/>
    <w:rsid w:val="00B72143"/>
    <w:rsid w:val="00B76320"/>
    <w:rsid w:val="00B77504"/>
    <w:rsid w:val="00B80201"/>
    <w:rsid w:val="00B81F63"/>
    <w:rsid w:val="00B85C55"/>
    <w:rsid w:val="00B90C3E"/>
    <w:rsid w:val="00B94E6D"/>
    <w:rsid w:val="00BA2EE1"/>
    <w:rsid w:val="00BA4030"/>
    <w:rsid w:val="00BA6E4D"/>
    <w:rsid w:val="00BB44F3"/>
    <w:rsid w:val="00BB6201"/>
    <w:rsid w:val="00BB7614"/>
    <w:rsid w:val="00BC0626"/>
    <w:rsid w:val="00BC72D2"/>
    <w:rsid w:val="00BC7835"/>
    <w:rsid w:val="00BD36BA"/>
    <w:rsid w:val="00BD53B7"/>
    <w:rsid w:val="00BD75AF"/>
    <w:rsid w:val="00BF2B02"/>
    <w:rsid w:val="00BF328E"/>
    <w:rsid w:val="00BF71BB"/>
    <w:rsid w:val="00C02125"/>
    <w:rsid w:val="00C02F78"/>
    <w:rsid w:val="00C05078"/>
    <w:rsid w:val="00C072FF"/>
    <w:rsid w:val="00C073A8"/>
    <w:rsid w:val="00C11A14"/>
    <w:rsid w:val="00C163B8"/>
    <w:rsid w:val="00C165D8"/>
    <w:rsid w:val="00C2206E"/>
    <w:rsid w:val="00C23EC6"/>
    <w:rsid w:val="00C30D86"/>
    <w:rsid w:val="00C31C96"/>
    <w:rsid w:val="00C32827"/>
    <w:rsid w:val="00C367FE"/>
    <w:rsid w:val="00C4043B"/>
    <w:rsid w:val="00C40EAB"/>
    <w:rsid w:val="00C41300"/>
    <w:rsid w:val="00C42F5E"/>
    <w:rsid w:val="00C43C02"/>
    <w:rsid w:val="00C52660"/>
    <w:rsid w:val="00C52D56"/>
    <w:rsid w:val="00C608BB"/>
    <w:rsid w:val="00C627AE"/>
    <w:rsid w:val="00C6302E"/>
    <w:rsid w:val="00C63EFE"/>
    <w:rsid w:val="00C645B7"/>
    <w:rsid w:val="00C67812"/>
    <w:rsid w:val="00C725D8"/>
    <w:rsid w:val="00C73DD3"/>
    <w:rsid w:val="00C753AC"/>
    <w:rsid w:val="00C82C1F"/>
    <w:rsid w:val="00C869CB"/>
    <w:rsid w:val="00C92941"/>
    <w:rsid w:val="00C94121"/>
    <w:rsid w:val="00C96BCB"/>
    <w:rsid w:val="00CA015F"/>
    <w:rsid w:val="00CB04E3"/>
    <w:rsid w:val="00CB2127"/>
    <w:rsid w:val="00CB3743"/>
    <w:rsid w:val="00CB42EE"/>
    <w:rsid w:val="00CB4D13"/>
    <w:rsid w:val="00CB5305"/>
    <w:rsid w:val="00CC20B6"/>
    <w:rsid w:val="00CC2418"/>
    <w:rsid w:val="00CC6DF6"/>
    <w:rsid w:val="00CD022E"/>
    <w:rsid w:val="00CD5C05"/>
    <w:rsid w:val="00CD6DDB"/>
    <w:rsid w:val="00CE03EA"/>
    <w:rsid w:val="00CE46C7"/>
    <w:rsid w:val="00CE4847"/>
    <w:rsid w:val="00CE491C"/>
    <w:rsid w:val="00CE56D0"/>
    <w:rsid w:val="00CE6BFC"/>
    <w:rsid w:val="00CE784F"/>
    <w:rsid w:val="00CF0973"/>
    <w:rsid w:val="00CF2D33"/>
    <w:rsid w:val="00CF2E28"/>
    <w:rsid w:val="00D05A85"/>
    <w:rsid w:val="00D103F3"/>
    <w:rsid w:val="00D168CE"/>
    <w:rsid w:val="00D2116A"/>
    <w:rsid w:val="00D24614"/>
    <w:rsid w:val="00D255C3"/>
    <w:rsid w:val="00D27B4E"/>
    <w:rsid w:val="00D320CC"/>
    <w:rsid w:val="00D36E74"/>
    <w:rsid w:val="00D408D0"/>
    <w:rsid w:val="00D42AB4"/>
    <w:rsid w:val="00D469A4"/>
    <w:rsid w:val="00D472AB"/>
    <w:rsid w:val="00D50F9F"/>
    <w:rsid w:val="00D52BE1"/>
    <w:rsid w:val="00D53773"/>
    <w:rsid w:val="00D5407A"/>
    <w:rsid w:val="00D5550E"/>
    <w:rsid w:val="00D566D8"/>
    <w:rsid w:val="00D56C1E"/>
    <w:rsid w:val="00D60A2E"/>
    <w:rsid w:val="00D657BD"/>
    <w:rsid w:val="00D66D2B"/>
    <w:rsid w:val="00D758A0"/>
    <w:rsid w:val="00D77188"/>
    <w:rsid w:val="00D81EE0"/>
    <w:rsid w:val="00D86F40"/>
    <w:rsid w:val="00D9069F"/>
    <w:rsid w:val="00D937DD"/>
    <w:rsid w:val="00DA1549"/>
    <w:rsid w:val="00DA1644"/>
    <w:rsid w:val="00DA1D3A"/>
    <w:rsid w:val="00DA2BEB"/>
    <w:rsid w:val="00DA2CCC"/>
    <w:rsid w:val="00DA2E73"/>
    <w:rsid w:val="00DA3192"/>
    <w:rsid w:val="00DA37E6"/>
    <w:rsid w:val="00DA42A4"/>
    <w:rsid w:val="00DA572D"/>
    <w:rsid w:val="00DA5F8B"/>
    <w:rsid w:val="00DA75F0"/>
    <w:rsid w:val="00DB1AB0"/>
    <w:rsid w:val="00DB45A5"/>
    <w:rsid w:val="00DC08AE"/>
    <w:rsid w:val="00DC11E3"/>
    <w:rsid w:val="00DC3AB4"/>
    <w:rsid w:val="00DC4704"/>
    <w:rsid w:val="00DD0AE3"/>
    <w:rsid w:val="00DD29F1"/>
    <w:rsid w:val="00DD5113"/>
    <w:rsid w:val="00DE06C4"/>
    <w:rsid w:val="00DE13F2"/>
    <w:rsid w:val="00DE3EF3"/>
    <w:rsid w:val="00DE6D7F"/>
    <w:rsid w:val="00DF14DE"/>
    <w:rsid w:val="00DF3C6F"/>
    <w:rsid w:val="00DF7B76"/>
    <w:rsid w:val="00E0480A"/>
    <w:rsid w:val="00E04946"/>
    <w:rsid w:val="00E07E5F"/>
    <w:rsid w:val="00E10E54"/>
    <w:rsid w:val="00E157EB"/>
    <w:rsid w:val="00E162DD"/>
    <w:rsid w:val="00E1691D"/>
    <w:rsid w:val="00E17310"/>
    <w:rsid w:val="00E26E79"/>
    <w:rsid w:val="00E30C7C"/>
    <w:rsid w:val="00E33818"/>
    <w:rsid w:val="00E33A82"/>
    <w:rsid w:val="00E36ACB"/>
    <w:rsid w:val="00E40C2E"/>
    <w:rsid w:val="00E42391"/>
    <w:rsid w:val="00E432A4"/>
    <w:rsid w:val="00E4596C"/>
    <w:rsid w:val="00E46349"/>
    <w:rsid w:val="00E468DA"/>
    <w:rsid w:val="00E53671"/>
    <w:rsid w:val="00E5547F"/>
    <w:rsid w:val="00E57906"/>
    <w:rsid w:val="00E61EE0"/>
    <w:rsid w:val="00E67A93"/>
    <w:rsid w:val="00E737D8"/>
    <w:rsid w:val="00E7666B"/>
    <w:rsid w:val="00E779B1"/>
    <w:rsid w:val="00E81F4F"/>
    <w:rsid w:val="00E837BA"/>
    <w:rsid w:val="00E845E7"/>
    <w:rsid w:val="00E86458"/>
    <w:rsid w:val="00E871CE"/>
    <w:rsid w:val="00E917D1"/>
    <w:rsid w:val="00E95183"/>
    <w:rsid w:val="00EA0EB5"/>
    <w:rsid w:val="00EA2871"/>
    <w:rsid w:val="00EA30A9"/>
    <w:rsid w:val="00EB01DF"/>
    <w:rsid w:val="00EB1907"/>
    <w:rsid w:val="00EB4A57"/>
    <w:rsid w:val="00EC46CC"/>
    <w:rsid w:val="00EC71EE"/>
    <w:rsid w:val="00EE06D5"/>
    <w:rsid w:val="00EE158D"/>
    <w:rsid w:val="00EE3BC5"/>
    <w:rsid w:val="00EE52C1"/>
    <w:rsid w:val="00EF0C19"/>
    <w:rsid w:val="00EF6E0F"/>
    <w:rsid w:val="00EF7277"/>
    <w:rsid w:val="00F00571"/>
    <w:rsid w:val="00F01950"/>
    <w:rsid w:val="00F02943"/>
    <w:rsid w:val="00F06201"/>
    <w:rsid w:val="00F068BF"/>
    <w:rsid w:val="00F15935"/>
    <w:rsid w:val="00F22BA8"/>
    <w:rsid w:val="00F324A7"/>
    <w:rsid w:val="00F34BF0"/>
    <w:rsid w:val="00F34FD0"/>
    <w:rsid w:val="00F356DF"/>
    <w:rsid w:val="00F40F12"/>
    <w:rsid w:val="00F41C01"/>
    <w:rsid w:val="00F46944"/>
    <w:rsid w:val="00F47B90"/>
    <w:rsid w:val="00F53548"/>
    <w:rsid w:val="00F55835"/>
    <w:rsid w:val="00F60C13"/>
    <w:rsid w:val="00F66251"/>
    <w:rsid w:val="00F775C3"/>
    <w:rsid w:val="00F80B24"/>
    <w:rsid w:val="00F81459"/>
    <w:rsid w:val="00F82028"/>
    <w:rsid w:val="00F842D6"/>
    <w:rsid w:val="00F90FD2"/>
    <w:rsid w:val="00F92F07"/>
    <w:rsid w:val="00FB4C52"/>
    <w:rsid w:val="00FB7410"/>
    <w:rsid w:val="00FC0FD6"/>
    <w:rsid w:val="00FC2ECA"/>
    <w:rsid w:val="00FC7EC0"/>
    <w:rsid w:val="00FD1F29"/>
    <w:rsid w:val="00FD229D"/>
    <w:rsid w:val="00FE1C2B"/>
    <w:rsid w:val="00FE2AE0"/>
    <w:rsid w:val="00FE3984"/>
    <w:rsid w:val="00FE64EF"/>
    <w:rsid w:val="00FE6FB0"/>
    <w:rsid w:val="00FF0FC4"/>
    <w:rsid w:val="00FF12CC"/>
    <w:rsid w:val="00FF1F4B"/>
    <w:rsid w:val="00FF3518"/>
    <w:rsid w:val="01D6343A"/>
    <w:rsid w:val="027E29A5"/>
    <w:rsid w:val="05625758"/>
    <w:rsid w:val="074D3D4B"/>
    <w:rsid w:val="07623059"/>
    <w:rsid w:val="0A5D0438"/>
    <w:rsid w:val="0AD71B8F"/>
    <w:rsid w:val="0DA916DB"/>
    <w:rsid w:val="0E6A4BBF"/>
    <w:rsid w:val="0E8D75C0"/>
    <w:rsid w:val="13641FB0"/>
    <w:rsid w:val="19E70E0E"/>
    <w:rsid w:val="1C7536CC"/>
    <w:rsid w:val="1D954D97"/>
    <w:rsid w:val="1F2E2AD5"/>
    <w:rsid w:val="23495BF2"/>
    <w:rsid w:val="27611396"/>
    <w:rsid w:val="29FF7627"/>
    <w:rsid w:val="2F833636"/>
    <w:rsid w:val="30EE1495"/>
    <w:rsid w:val="315C308A"/>
    <w:rsid w:val="31BD7E7C"/>
    <w:rsid w:val="342C2547"/>
    <w:rsid w:val="359F2D89"/>
    <w:rsid w:val="368517DA"/>
    <w:rsid w:val="3B366C2B"/>
    <w:rsid w:val="3F77F543"/>
    <w:rsid w:val="41CE2BFD"/>
    <w:rsid w:val="47607AAE"/>
    <w:rsid w:val="4BEF09CC"/>
    <w:rsid w:val="4DCA6855"/>
    <w:rsid w:val="510C4885"/>
    <w:rsid w:val="53A00750"/>
    <w:rsid w:val="565B0843"/>
    <w:rsid w:val="56EC2EAE"/>
    <w:rsid w:val="58742ECE"/>
    <w:rsid w:val="5BB3224B"/>
    <w:rsid w:val="5BE7258A"/>
    <w:rsid w:val="5E173434"/>
    <w:rsid w:val="614B1046"/>
    <w:rsid w:val="639A000E"/>
    <w:rsid w:val="63DE6EE1"/>
    <w:rsid w:val="67BC271F"/>
    <w:rsid w:val="6A333BE8"/>
    <w:rsid w:val="6FCC30F3"/>
    <w:rsid w:val="6FD24AF4"/>
    <w:rsid w:val="75DA2454"/>
    <w:rsid w:val="768264BC"/>
    <w:rsid w:val="76D13A7D"/>
    <w:rsid w:val="77B874C1"/>
    <w:rsid w:val="77DE71AE"/>
    <w:rsid w:val="7B536CF3"/>
    <w:rsid w:val="7F7B5E07"/>
    <w:rsid w:val="FEDBF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等线" w:cs="Times New Roman"/>
      <w:kern w:val="2"/>
      <w:sz w:val="21"/>
      <w:szCs w:val="24"/>
      <w:lang w:val="en-US" w:eastAsia="zh-CN" w:bidi="ar-SA"/>
    </w:rPr>
  </w:style>
  <w:style w:type="paragraph" w:styleId="2">
    <w:name w:val="heading 1"/>
    <w:basedOn w:val="1"/>
    <w:next w:val="1"/>
    <w:link w:val="25"/>
    <w:qFormat/>
    <w:uiPriority w:val="0"/>
    <w:pPr>
      <w:numPr>
        <w:ilvl w:val="0"/>
        <w:numId w:val="1"/>
      </w:numPr>
      <w:spacing w:before="156" w:beforeLines="50" w:after="156" w:afterLines="50" w:line="360" w:lineRule="auto"/>
      <w:outlineLvl w:val="0"/>
    </w:pPr>
    <w:rPr>
      <w:rFonts w:ascii="仿宋_GB2312" w:hAnsi="仿宋" w:eastAsia="仿宋_GB2312"/>
      <w:b/>
      <w:sz w:val="3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23"/>
    <w:qFormat/>
    <w:uiPriority w:val="0"/>
    <w:rPr>
      <w:rFonts w:ascii="宋体"/>
      <w:sz w:val="18"/>
      <w:szCs w:val="18"/>
    </w:rPr>
  </w:style>
  <w:style w:type="paragraph" w:styleId="4">
    <w:name w:val="annotation text"/>
    <w:basedOn w:val="1"/>
    <w:link w:val="22"/>
    <w:qFormat/>
    <w:uiPriority w:val="0"/>
    <w:pPr>
      <w:jc w:val="left"/>
    </w:pPr>
  </w:style>
  <w:style w:type="paragraph" w:styleId="5">
    <w:name w:val="Body Text Indent"/>
    <w:basedOn w:val="1"/>
    <w:qFormat/>
    <w:uiPriority w:val="0"/>
    <w:pPr>
      <w:ind w:firstLine="555"/>
    </w:pPr>
    <w:rPr>
      <w:rFonts w:hint="eastAsia" w:ascii="楷体_GB2312" w:eastAsia="楷体_GB2312"/>
      <w:sz w:val="28"/>
    </w:rPr>
  </w:style>
  <w:style w:type="paragraph" w:styleId="6">
    <w:name w:val="toc 3"/>
    <w:basedOn w:val="1"/>
    <w:next w:val="1"/>
    <w:qFormat/>
    <w:uiPriority w:val="39"/>
    <w:pPr>
      <w:ind w:left="840" w:leftChars="400"/>
    </w:pPr>
  </w:style>
  <w:style w:type="paragraph" w:styleId="7">
    <w:name w:val="Plain Text"/>
    <w:basedOn w:val="1"/>
    <w:link w:val="26"/>
    <w:qFormat/>
    <w:uiPriority w:val="0"/>
    <w:rPr>
      <w:rFonts w:ascii="宋体" w:hAnsi="Courier New"/>
      <w:szCs w:val="21"/>
    </w:rPr>
  </w:style>
  <w:style w:type="paragraph" w:styleId="8">
    <w:name w:val="Date"/>
    <w:basedOn w:val="1"/>
    <w:next w:val="1"/>
    <w:link w:val="33"/>
    <w:qFormat/>
    <w:uiPriority w:val="0"/>
    <w:pPr>
      <w:ind w:left="100" w:leftChars="2500"/>
    </w:pPr>
  </w:style>
  <w:style w:type="paragraph" w:styleId="9">
    <w:name w:val="Balloon Text"/>
    <w:basedOn w:val="1"/>
    <w:link w:val="24"/>
    <w:qFormat/>
    <w:uiPriority w:val="0"/>
    <w:rPr>
      <w:sz w:val="18"/>
      <w:szCs w:val="18"/>
    </w:rPr>
  </w:style>
  <w:style w:type="paragraph" w:styleId="10">
    <w:name w:val="footer"/>
    <w:basedOn w:val="1"/>
    <w:link w:val="27"/>
    <w:qFormat/>
    <w:uiPriority w:val="99"/>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style>
  <w:style w:type="paragraph" w:styleId="13">
    <w:name w:val="toc 2"/>
    <w:basedOn w:val="1"/>
    <w:next w:val="1"/>
    <w:qFormat/>
    <w:uiPriority w:val="39"/>
    <w:pPr>
      <w:ind w:left="420" w:leftChars="200"/>
    </w:pPr>
  </w:style>
  <w:style w:type="paragraph" w:styleId="14">
    <w:name w:val="Normal (Web)"/>
    <w:basedOn w:val="1"/>
    <w:qFormat/>
    <w:uiPriority w:val="0"/>
    <w:pPr>
      <w:spacing w:before="100" w:beforeAutospacing="1" w:after="100" w:afterAutospacing="1"/>
      <w:jc w:val="left"/>
    </w:pPr>
    <w:rPr>
      <w:kern w:val="0"/>
      <w:sz w:val="24"/>
    </w:rPr>
  </w:style>
  <w:style w:type="paragraph" w:styleId="15">
    <w:name w:val="annotation subject"/>
    <w:basedOn w:val="4"/>
    <w:next w:val="4"/>
    <w:link w:val="21"/>
    <w:qFormat/>
    <w:uiPriority w:val="0"/>
    <w:rPr>
      <w:b/>
      <w:bCs/>
    </w:rPr>
  </w:style>
  <w:style w:type="character" w:styleId="18">
    <w:name w:val="page number"/>
    <w:basedOn w:val="17"/>
    <w:qFormat/>
    <w:uiPriority w:val="0"/>
  </w:style>
  <w:style w:type="character" w:styleId="19">
    <w:name w:val="Hyperlink"/>
    <w:unhideWhenUsed/>
    <w:qFormat/>
    <w:uiPriority w:val="99"/>
    <w:rPr>
      <w:color w:val="0000FF"/>
      <w:u w:val="single"/>
    </w:rPr>
  </w:style>
  <w:style w:type="character" w:styleId="20">
    <w:name w:val="annotation reference"/>
    <w:qFormat/>
    <w:uiPriority w:val="0"/>
    <w:rPr>
      <w:sz w:val="21"/>
      <w:szCs w:val="21"/>
    </w:rPr>
  </w:style>
  <w:style w:type="character" w:customStyle="1" w:styleId="21">
    <w:name w:val="批注主题 字符"/>
    <w:link w:val="15"/>
    <w:qFormat/>
    <w:uiPriority w:val="0"/>
    <w:rPr>
      <w:b/>
      <w:bCs/>
      <w:kern w:val="2"/>
      <w:sz w:val="21"/>
      <w:szCs w:val="24"/>
    </w:rPr>
  </w:style>
  <w:style w:type="character" w:customStyle="1" w:styleId="22">
    <w:name w:val="批注文字 字符"/>
    <w:link w:val="4"/>
    <w:qFormat/>
    <w:uiPriority w:val="0"/>
    <w:rPr>
      <w:kern w:val="2"/>
      <w:sz w:val="21"/>
      <w:szCs w:val="24"/>
    </w:rPr>
  </w:style>
  <w:style w:type="character" w:customStyle="1" w:styleId="23">
    <w:name w:val="文档结构图 字符"/>
    <w:link w:val="3"/>
    <w:qFormat/>
    <w:uiPriority w:val="0"/>
    <w:rPr>
      <w:rFonts w:ascii="宋体"/>
      <w:kern w:val="2"/>
      <w:sz w:val="18"/>
      <w:szCs w:val="18"/>
    </w:rPr>
  </w:style>
  <w:style w:type="character" w:customStyle="1" w:styleId="24">
    <w:name w:val="批注框文本 字符"/>
    <w:link w:val="9"/>
    <w:qFormat/>
    <w:uiPriority w:val="0"/>
    <w:rPr>
      <w:kern w:val="2"/>
      <w:sz w:val="18"/>
      <w:szCs w:val="18"/>
    </w:rPr>
  </w:style>
  <w:style w:type="character" w:customStyle="1" w:styleId="25">
    <w:name w:val="标题 1 字符"/>
    <w:link w:val="2"/>
    <w:qFormat/>
    <w:uiPriority w:val="0"/>
    <w:rPr>
      <w:rFonts w:ascii="仿宋_GB2312" w:hAnsi="仿宋" w:eastAsia="仿宋_GB2312"/>
      <w:b/>
      <w:kern w:val="2"/>
      <w:sz w:val="36"/>
      <w:szCs w:val="24"/>
    </w:rPr>
  </w:style>
  <w:style w:type="character" w:customStyle="1" w:styleId="26">
    <w:name w:val="纯文本 字符"/>
    <w:link w:val="7"/>
    <w:qFormat/>
    <w:uiPriority w:val="0"/>
    <w:rPr>
      <w:rFonts w:ascii="宋体" w:hAnsi="Courier New" w:cs="Courier New"/>
      <w:kern w:val="2"/>
      <w:sz w:val="21"/>
      <w:szCs w:val="21"/>
    </w:rPr>
  </w:style>
  <w:style w:type="character" w:customStyle="1" w:styleId="27">
    <w:name w:val="页脚 字符"/>
    <w:link w:val="10"/>
    <w:qFormat/>
    <w:uiPriority w:val="99"/>
    <w:rPr>
      <w:kern w:val="2"/>
      <w:sz w:val="18"/>
      <w:szCs w:val="18"/>
    </w:rPr>
  </w:style>
  <w:style w:type="paragraph" w:customStyle="1" w:styleId="28">
    <w:name w:val="子课题可行性报告"/>
    <w:basedOn w:val="1"/>
    <w:qFormat/>
    <w:uiPriority w:val="0"/>
    <w:pPr>
      <w:spacing w:line="360" w:lineRule="auto"/>
      <w:ind w:firstLine="200" w:firstLineChars="200"/>
    </w:pPr>
    <w:rPr>
      <w:rFonts w:ascii="仿宋_GB2312" w:eastAsia="仿宋_GB2312"/>
      <w:sz w:val="28"/>
      <w:szCs w:val="28"/>
    </w:rPr>
  </w:style>
  <w:style w:type="paragraph" w:customStyle="1" w:styleId="29">
    <w:name w:val="修订1"/>
    <w:semiHidden/>
    <w:qFormat/>
    <w:uiPriority w:val="99"/>
    <w:rPr>
      <w:rFonts w:ascii="Times New Roman" w:hAnsi="Times New Roman" w:eastAsia="等线" w:cs="Times New Roman"/>
      <w:kern w:val="2"/>
      <w:sz w:val="21"/>
      <w:szCs w:val="24"/>
      <w:lang w:val="en-US" w:eastAsia="zh-CN" w:bidi="ar-SA"/>
    </w:rPr>
  </w:style>
  <w:style w:type="paragraph" w:styleId="30">
    <w:name w:val="List Paragraph"/>
    <w:basedOn w:val="1"/>
    <w:qFormat/>
    <w:uiPriority w:val="34"/>
    <w:pPr>
      <w:ind w:firstLine="420" w:firstLineChars="200"/>
    </w:pPr>
  </w:style>
  <w:style w:type="paragraph" w:customStyle="1" w:styleId="31">
    <w:name w:val="TOC 标题1"/>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32">
    <w:name w:val="Char1 Char Char Char"/>
    <w:basedOn w:val="1"/>
    <w:qFormat/>
    <w:uiPriority w:val="0"/>
    <w:rPr>
      <w:rFonts w:ascii="Tahoma" w:hAnsi="Tahoma"/>
      <w:sz w:val="24"/>
      <w:szCs w:val="20"/>
    </w:rPr>
  </w:style>
  <w:style w:type="character" w:customStyle="1" w:styleId="33">
    <w:name w:val="日期 字符"/>
    <w:basedOn w:val="17"/>
    <w:link w:val="8"/>
    <w:qFormat/>
    <w:uiPriority w:val="0"/>
    <w:rPr>
      <w:rFonts w:eastAsia="等线"/>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306</Words>
  <Characters>1748</Characters>
  <Lines>1</Lines>
  <Paragraphs>1</Paragraphs>
  <TotalTime>12</TotalTime>
  <ScaleCrop>false</ScaleCrop>
  <LinksUpToDate>false</LinksUpToDate>
  <CharactersWithSpaces>2050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2021-08-29T09:05:00Z</dcterms:created>
  <dc:creator>朱笑稷</dc:creator>
  <cp:lastModifiedBy>Ji</cp:lastModifiedBy>
  <cp:lastPrinted>2020-04-02T09:09:00Z</cp:lastPrinted>
  <dcterms:modified xsi:type="dcterms:W3CDTF">2024-05-20T01:21:37Z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2FA5E135E8444D60B96C00427F862A13</vt:lpwstr>
  </property>
</Properties>
</file>