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48"/>
          <w:szCs w:val="48"/>
        </w:rPr>
      </w:pPr>
    </w:p>
    <w:p>
      <w:pPr>
        <w:spacing w:line="480" w:lineRule="auto"/>
        <w:jc w:val="center"/>
        <w:rPr>
          <w:rFonts w:ascii="Times New Roman" w:eastAsia="仿宋_GB2312"/>
          <w:b/>
          <w:sz w:val="52"/>
          <w:szCs w:val="52"/>
        </w:rPr>
      </w:pPr>
    </w:p>
    <w:p>
      <w:pPr>
        <w:widowControl/>
        <w:spacing w:line="360" w:lineRule="auto"/>
        <w:jc w:val="center"/>
        <w:rPr>
          <w:rFonts w:ascii="Times New Roman" w:hAnsi="Times New Roman" w:eastAsia="仿宋_GB2312" w:cs="Times New Roman"/>
          <w:b/>
          <w:bCs/>
          <w:color w:val="000000"/>
          <w:kern w:val="0"/>
          <w:sz w:val="48"/>
          <w:szCs w:val="52"/>
        </w:rPr>
      </w:pPr>
      <w:r>
        <w:rPr>
          <w:rFonts w:hint="default" w:ascii="Times New Roman" w:hAnsi="Times New Roman" w:eastAsia="仿宋_GB2312" w:cs="Times New Roman"/>
          <w:b/>
          <w:bCs/>
          <w:color w:val="000000"/>
          <w:kern w:val="0"/>
          <w:sz w:val="48"/>
          <w:szCs w:val="52"/>
        </w:rPr>
        <w:t>东南大学-中国移动设计院联合实验室</w:t>
      </w:r>
    </w:p>
    <w:p>
      <w:pPr>
        <w:widowControl/>
        <w:spacing w:line="360" w:lineRule="auto"/>
        <w:jc w:val="center"/>
        <w:rPr>
          <w:rFonts w:ascii="Times New Roman" w:eastAsia="仿宋_GB2312"/>
          <w:b/>
          <w:bCs/>
          <w:sz w:val="48"/>
          <w:szCs w:val="52"/>
        </w:rPr>
      </w:pPr>
      <w:r>
        <w:rPr>
          <w:rFonts w:hint="default" w:ascii="Times New Roman" w:hAnsi="Times New Roman" w:eastAsia="仿宋_GB2312" w:cs="Times New Roman"/>
          <w:b/>
          <w:bCs/>
          <w:color w:val="000000"/>
          <w:kern w:val="0"/>
          <w:sz w:val="48"/>
          <w:szCs w:val="52"/>
        </w:rPr>
        <w:t>联合研发课题</w:t>
      </w:r>
      <w:r>
        <w:rPr>
          <w:rFonts w:hint="default" w:ascii="Times New Roman" w:eastAsia="仿宋_GB2312"/>
          <w:b/>
          <w:bCs/>
          <w:sz w:val="48"/>
          <w:szCs w:val="52"/>
        </w:rPr>
        <w:t>指南</w:t>
      </w:r>
    </w:p>
    <w:p>
      <w:pPr>
        <w:widowControl/>
        <w:jc w:val="center"/>
        <w:rPr>
          <w:rFonts w:hint="default" w:ascii="Times New Roman" w:hAnsi="Times New Roman" w:eastAsia="仿宋_GB2312" w:cs="Times New Roman"/>
          <w:b/>
          <w:bCs/>
          <w:color w:val="000000"/>
          <w:kern w:val="0"/>
          <w:sz w:val="52"/>
          <w:szCs w:val="52"/>
        </w:rPr>
      </w:pPr>
    </w:p>
    <w:p>
      <w:pPr>
        <w:widowControl/>
        <w:jc w:val="center"/>
        <w:rPr>
          <w:rFonts w:ascii="Times New Roman" w:hAnsi="Times New Roman" w:eastAsia="仿宋_GB2312" w:cs="Times New Roman"/>
          <w:b/>
          <w:bCs/>
          <w:color w:val="000000"/>
          <w:kern w:val="0"/>
          <w:sz w:val="52"/>
          <w:szCs w:val="52"/>
        </w:rPr>
      </w:pPr>
    </w:p>
    <w:p>
      <w:pPr>
        <w:widowControl/>
        <w:numPr>
          <w:ilvl w:val="1"/>
          <w:numId w:val="0"/>
        </w:numPr>
        <w:tabs>
          <w:tab w:val="left" w:pos="0"/>
        </w:tabs>
        <w:autoSpaceDE/>
        <w:autoSpaceDN/>
        <w:adjustRightInd/>
        <w:spacing w:line="360" w:lineRule="auto"/>
        <w:ind w:right="-199"/>
        <w:jc w:val="center"/>
        <w:rPr>
          <w:rFonts w:hint="eastAsia" w:ascii="华文楷体" w:hAnsi="华文楷体" w:eastAsia="华文楷体" w:cs="ヒラギノ角ゴ Pro W3"/>
          <w:sz w:val="36"/>
          <w:szCs w:val="36"/>
        </w:rPr>
      </w:pPr>
      <w:bookmarkStart w:id="0" w:name="OLE_LINK1"/>
      <w:r>
        <w:rPr>
          <w:rFonts w:hint="eastAsia" w:ascii="华文楷体" w:hAnsi="华文楷体" w:eastAsia="华文楷体" w:cs="ヒラギノ角ゴ Pro W3"/>
          <w:sz w:val="36"/>
          <w:szCs w:val="36"/>
        </w:rPr>
        <w:t>通信感知一体化组网关键技术研究与算法仿真验证</w:t>
      </w:r>
    </w:p>
    <w:bookmarkEnd w:id="0"/>
    <w:p>
      <w:pPr>
        <w:widowControl/>
        <w:jc w:val="center"/>
        <w:rPr>
          <w:rFonts w:ascii="Times New Roman" w:hAnsi="Times New Roman" w:eastAsia="仿宋_GB2312" w:cs="Times New Roman"/>
          <w:b/>
          <w:bCs/>
          <w:color w:val="000000"/>
          <w:kern w:val="0"/>
          <w:sz w:val="44"/>
          <w:szCs w:val="44"/>
        </w:rPr>
      </w:pPr>
    </w:p>
    <w:p>
      <w:pPr>
        <w:widowControl/>
        <w:rPr>
          <w:rFonts w:ascii="Times New Roman" w:hAnsi="Times New Roman" w:eastAsia="仿宋_GB2312" w:cs="Times New Roman"/>
          <w:b/>
          <w:bCs/>
          <w:color w:val="000000"/>
          <w:kern w:val="0"/>
          <w:sz w:val="44"/>
          <w:szCs w:val="44"/>
        </w:rPr>
      </w:pPr>
    </w:p>
    <w:p>
      <w:pPr>
        <w:widowControl/>
        <w:rPr>
          <w:rFonts w:ascii="Times New Roman" w:hAnsi="Times New Roman" w:eastAsia="仿宋_GB2312" w:cs="Times New Roman"/>
          <w:b/>
          <w:bCs/>
          <w:color w:val="000000"/>
          <w:kern w:val="0"/>
          <w:sz w:val="36"/>
          <w:szCs w:val="36"/>
        </w:rPr>
      </w:pPr>
    </w:p>
    <w:p>
      <w:pPr>
        <w:widowControl/>
        <w:jc w:val="center"/>
        <w:rPr>
          <w:rFonts w:hint="default" w:ascii="Times New Roman" w:hAnsi="Times New Roman" w:eastAsia="仿宋_GB2312" w:cs="Times New Roman"/>
          <w:b/>
          <w:bCs/>
          <w:color w:val="000000"/>
          <w:kern w:val="0"/>
          <w:sz w:val="36"/>
          <w:szCs w:val="36"/>
        </w:rPr>
      </w:pPr>
    </w:p>
    <w:p>
      <w:pPr>
        <w:widowControl/>
        <w:jc w:val="center"/>
        <w:rPr>
          <w:rFonts w:hint="default" w:ascii="Times New Roman" w:hAnsi="Times New Roman" w:eastAsia="仿宋_GB2312" w:cs="Times New Roman"/>
          <w:b/>
          <w:bCs/>
          <w:color w:val="000000"/>
          <w:kern w:val="0"/>
          <w:sz w:val="36"/>
          <w:szCs w:val="36"/>
        </w:rPr>
      </w:pPr>
    </w:p>
    <w:p>
      <w:pPr>
        <w:widowControl/>
        <w:jc w:val="center"/>
        <w:rPr>
          <w:rFonts w:hint="default" w:ascii="Times New Roman" w:hAnsi="Times New Roman" w:eastAsia="仿宋_GB2312" w:cs="Times New Roman"/>
          <w:b/>
          <w:bCs/>
          <w:color w:val="000000"/>
          <w:kern w:val="0"/>
          <w:sz w:val="36"/>
          <w:szCs w:val="36"/>
        </w:rPr>
      </w:pP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中国移动通信有限公司设计院</w:t>
      </w:r>
    </w:p>
    <w:p>
      <w:pPr>
        <w:widowControl/>
        <w:jc w:val="center"/>
        <w:rPr>
          <w:rFonts w:ascii="Times New Roman" w:hAnsi="Times New Roman" w:eastAsia="仿宋_GB2312" w:cs="Times New Roman"/>
          <w:b/>
          <w:bCs/>
          <w:color w:val="000000"/>
          <w:kern w:val="0"/>
          <w:sz w:val="36"/>
          <w:szCs w:val="36"/>
        </w:rPr>
      </w:pPr>
      <w:r>
        <w:rPr>
          <w:rFonts w:hint="default" w:ascii="Times New Roman" w:hAnsi="Times New Roman" w:eastAsia="仿宋_GB2312" w:cs="Times New Roman"/>
          <w:b/>
          <w:bCs/>
          <w:color w:val="000000"/>
          <w:kern w:val="0"/>
          <w:sz w:val="36"/>
          <w:szCs w:val="36"/>
        </w:rPr>
        <w:t>202</w:t>
      </w:r>
      <w:r>
        <w:rPr>
          <w:rFonts w:hint="eastAsia" w:eastAsia="仿宋_GB2312" w:cs="Times New Roman"/>
          <w:b/>
          <w:bCs/>
          <w:color w:val="000000"/>
          <w:kern w:val="0"/>
          <w:sz w:val="36"/>
          <w:szCs w:val="36"/>
          <w:lang w:val="en-US" w:eastAsia="zh-CN"/>
        </w:rPr>
        <w:t>4</w:t>
      </w:r>
      <w:r>
        <w:rPr>
          <w:rFonts w:hint="default" w:ascii="Times New Roman" w:hAnsi="Times New Roman" w:eastAsia="仿宋_GB2312" w:cs="Times New Roman"/>
          <w:b/>
          <w:bCs/>
          <w:color w:val="000000"/>
          <w:kern w:val="0"/>
          <w:sz w:val="36"/>
          <w:szCs w:val="36"/>
        </w:rPr>
        <w:t>年</w:t>
      </w:r>
      <w:r>
        <w:rPr>
          <w:rFonts w:hint="eastAsia" w:eastAsia="仿宋_GB2312" w:cs="Times New Roman"/>
          <w:b/>
          <w:bCs/>
          <w:color w:val="000000"/>
          <w:kern w:val="0"/>
          <w:sz w:val="36"/>
          <w:szCs w:val="36"/>
          <w:lang w:val="en-US" w:eastAsia="zh-CN"/>
        </w:rPr>
        <w:t>5</w:t>
      </w:r>
      <w:r>
        <w:rPr>
          <w:rFonts w:hint="default" w:ascii="Times New Roman" w:hAnsi="Times New Roman" w:eastAsia="仿宋_GB2312" w:cs="Times New Roman"/>
          <w:b/>
          <w:bCs/>
          <w:color w:val="000000"/>
          <w:kern w:val="0"/>
          <w:sz w:val="36"/>
          <w:szCs w:val="36"/>
        </w:rPr>
        <w:t>月</w:t>
      </w:r>
    </w:p>
    <w:p>
      <w:pPr>
        <w:widowControl/>
        <w:jc w:val="both"/>
        <w:rPr>
          <w:rFonts w:hint="default" w:ascii="Times New Roman" w:hAnsi="Times New Roman" w:eastAsia="仿宋_GB2312"/>
          <w:b/>
          <w:color w:val="C00000"/>
          <w:sz w:val="36"/>
        </w:rPr>
      </w:pPr>
    </w:p>
    <w:p>
      <w:pPr>
        <w:widowControl/>
        <w:jc w:val="center"/>
        <w:rPr>
          <w:rFonts w:hint="eastAsia" w:ascii="仿宋_GB2312" w:hAnsi="仿宋" w:eastAsia="仿宋_GB2312"/>
          <w:b/>
          <w:color w:val="C00000"/>
          <w:sz w:val="36"/>
        </w:rPr>
        <w:sectPr>
          <w:footerReference r:id="rId3" w:type="default"/>
          <w:pgSz w:w="11906" w:h="16838"/>
          <w:pgMar w:top="1361" w:right="1797" w:bottom="1361" w:left="1797" w:header="851" w:footer="992" w:gutter="0"/>
          <w:pgNumType w:start="0"/>
          <w:cols w:space="720" w:num="1"/>
          <w:docGrid w:type="lines" w:linePitch="312" w:charSpace="0"/>
        </w:sectPr>
      </w:pPr>
    </w:p>
    <w:p>
      <w:pPr>
        <w:pStyle w:val="2"/>
        <w:rPr>
          <w:rFonts w:ascii="Times New Roman" w:hAnsi="Times New Roman" w:eastAsia="仿宋_GB2312"/>
          <w:b/>
          <w:sz w:val="36"/>
        </w:rPr>
      </w:pPr>
      <w:r>
        <w:rPr>
          <w:rFonts w:hint="eastAsia" w:ascii="Times New Roman" w:hAnsi="Times New Roman"/>
        </w:rPr>
        <w:t>课题基本信息</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8"/>
        <w:gridCol w:w="1773"/>
        <w:gridCol w:w="57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642"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课题名称</w:t>
            </w:r>
          </w:p>
        </w:tc>
        <w:tc>
          <w:tcPr>
            <w:tcW w:w="3357" w:type="pct"/>
            <w:vAlign w:val="center"/>
          </w:tcPr>
          <w:p>
            <w:pPr>
              <w:widowControl/>
              <w:spacing w:line="360" w:lineRule="auto"/>
              <w:rPr>
                <w:rFonts w:ascii="宋体" w:hAnsi="宋体" w:eastAsia="宋体" w:cs="Times New Roman"/>
                <w:color w:val="000000"/>
                <w:kern w:val="0"/>
                <w:position w:val="6"/>
                <w:sz w:val="24"/>
                <w:szCs w:val="21"/>
              </w:rPr>
            </w:pPr>
            <w:r>
              <w:rPr>
                <w:rFonts w:hint="eastAsia" w:ascii="宋体" w:hAnsi="宋体" w:eastAsia="宋体" w:cs="Times New Roman"/>
                <w:color w:val="000000"/>
                <w:kern w:val="0"/>
                <w:position w:val="6"/>
                <w:sz w:val="24"/>
                <w:szCs w:val="21"/>
              </w:rPr>
              <w:t>通信感知一体化组网关键技术研究与算法仿真验证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2"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课题周期</w:t>
            </w:r>
          </w:p>
        </w:tc>
        <w:tc>
          <w:tcPr>
            <w:tcW w:w="3357" w:type="pct"/>
            <w:vAlign w:val="center"/>
          </w:tcPr>
          <w:p>
            <w:pPr>
              <w:spacing w:line="360" w:lineRule="auto"/>
              <w:ind w:firstLine="0" w:firstLineChars="0"/>
              <w:rPr>
                <w:rFonts w:ascii="宋体" w:hAnsi="宋体" w:eastAsia="宋体" w:cs="Times New Roman"/>
                <w:color w:val="000000"/>
                <w:position w:val="6"/>
                <w:sz w:val="24"/>
                <w:szCs w:val="21"/>
              </w:rPr>
            </w:pPr>
            <w:r>
              <w:rPr>
                <w:rFonts w:hint="eastAsia" w:ascii="宋体" w:hAnsi="宋体" w:eastAsia="宋体" w:cs="Times New Roman"/>
                <w:color w:val="000000"/>
                <w:position w:val="6"/>
                <w:sz w:val="24"/>
                <w:szCs w:val="21"/>
                <w:lang w:val="en-US" w:eastAsia="zh-CN"/>
              </w:rPr>
              <w:t>1</w:t>
            </w:r>
            <w:r>
              <w:rPr>
                <w:rFonts w:hint="default" w:ascii="宋体" w:hAnsi="宋体" w:eastAsia="宋体" w:cs="Times New Roman"/>
                <w:color w:val="000000"/>
                <w:position w:val="6"/>
                <w:sz w:val="24"/>
                <w:szCs w:val="21"/>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1642"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预期成果类型</w:t>
            </w:r>
          </w:p>
        </w:tc>
        <w:tc>
          <w:tcPr>
            <w:tcW w:w="3357" w:type="pct"/>
            <w:vAlign w:val="center"/>
          </w:tcPr>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专利  □技术标准  □新产品 </w:t>
            </w:r>
            <w:r>
              <w:rPr>
                <w:rFonts w:hint="default" w:ascii="宋体" w:hAnsi="宋体" w:eastAsia="宋体" w:cs="Times New Roman"/>
                <w:color w:val="auto"/>
                <w:position w:val="6"/>
                <w:sz w:val="24"/>
                <w:szCs w:val="21"/>
              </w:rPr>
              <w:sym w:font="Wingdings 2" w:char="00A3"/>
            </w:r>
            <w:r>
              <w:rPr>
                <w:rFonts w:hint="default" w:ascii="宋体" w:hAnsi="宋体" w:eastAsia="宋体" w:cs="Times New Roman"/>
                <w:color w:val="auto"/>
                <w:position w:val="6"/>
                <w:sz w:val="24"/>
                <w:szCs w:val="21"/>
              </w:rPr>
              <w:t>新工艺</w:t>
            </w:r>
          </w:p>
          <w:p>
            <w:pPr>
              <w:spacing w:line="360" w:lineRule="auto"/>
              <w:rPr>
                <w:rFonts w:ascii="宋体" w:hAnsi="宋体" w:eastAsia="宋体" w:cs="Times New Roman"/>
                <w:color w:val="auto"/>
                <w:position w:val="6"/>
                <w:sz w:val="24"/>
                <w:szCs w:val="21"/>
              </w:rPr>
            </w:pPr>
            <w:r>
              <w:rPr>
                <w:rFonts w:hint="default" w:ascii="宋体" w:hAnsi="宋体" w:eastAsia="宋体" w:cs="Times New Roman"/>
                <w:color w:val="auto"/>
                <w:position w:val="6"/>
                <w:sz w:val="24"/>
                <w:szCs w:val="21"/>
              </w:rPr>
              <w:t xml:space="preserve">□新装置 □新材料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软件平台或硬件原型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 xml:space="preserve">论文论著 </w:t>
            </w:r>
            <w:r>
              <w:rPr>
                <w:rFonts w:hint="default" w:ascii="宋体" w:hAnsi="宋体" w:eastAsia="宋体" w:cs="Times New Roman"/>
                <w:color w:val="auto"/>
                <w:position w:val="6"/>
                <w:sz w:val="24"/>
                <w:szCs w:val="21"/>
              </w:rPr>
              <w:sym w:font="Wingdings 2" w:char="0052"/>
            </w:r>
            <w:r>
              <w:rPr>
                <w:rFonts w:hint="default" w:ascii="宋体" w:hAnsi="宋体" w:eastAsia="宋体" w:cs="Times New Roman"/>
                <w:color w:val="auto"/>
                <w:position w:val="6"/>
                <w:sz w:val="24"/>
                <w:szCs w:val="21"/>
              </w:rPr>
              <w:t>研究报告 □其他</w:t>
            </w:r>
            <w:r>
              <w:rPr>
                <w:rFonts w:hint="default" w:ascii="宋体" w:hAnsi="宋体" w:eastAsia="宋体" w:cs="Times New Roman"/>
                <w:color w:val="auto"/>
                <w:position w:val="6"/>
                <w:sz w:val="24"/>
                <w:szCs w:val="21"/>
                <w:u w:val="none"/>
              </w:rPr>
              <w:t>（ 填写具体内容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3" w:type="pct"/>
            <w:vMerge w:val="restar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需求部门与课题负责人信息</w:t>
            </w:r>
          </w:p>
        </w:tc>
        <w:tc>
          <w:tcPr>
            <w:tcW w:w="1038"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需求部门名称</w:t>
            </w:r>
          </w:p>
        </w:tc>
        <w:tc>
          <w:tcPr>
            <w:tcW w:w="3357" w:type="pct"/>
            <w:vAlign w:val="center"/>
          </w:tcPr>
          <w:p>
            <w:pPr>
              <w:spacing w:line="360" w:lineRule="auto"/>
              <w:rPr>
                <w:rFonts w:hint="default" w:ascii="宋体" w:hAnsi="宋体" w:eastAsia="宋体" w:cs="Times New Roman"/>
                <w:position w:val="6"/>
                <w:sz w:val="24"/>
                <w:szCs w:val="21"/>
                <w:lang w:val="en-US" w:eastAsia="zh-CN"/>
              </w:rPr>
            </w:pPr>
            <w:bookmarkStart w:id="1" w:name="OLE_LINK3"/>
            <w:r>
              <w:rPr>
                <w:rFonts w:hint="eastAsia" w:ascii="宋体" w:hAnsi="宋体" w:eastAsia="宋体" w:cs="Times New Roman"/>
                <w:position w:val="6"/>
                <w:sz w:val="24"/>
                <w:szCs w:val="21"/>
                <w:lang w:val="en-US" w:eastAsia="zh-CN"/>
              </w:rPr>
              <w:t>移动设计院-无线所</w:t>
            </w:r>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3" w:type="pct"/>
            <w:vMerge w:val="continue"/>
            <w:vAlign w:val="center"/>
          </w:tcPr>
          <w:p>
            <w:pPr>
              <w:spacing w:line="360" w:lineRule="auto"/>
              <w:rPr>
                <w:rFonts w:ascii="宋体" w:hAnsi="宋体" w:eastAsia="宋体" w:cs="Times New Roman"/>
                <w:color w:val="000000"/>
                <w:position w:val="6"/>
                <w:sz w:val="24"/>
                <w:szCs w:val="21"/>
              </w:rPr>
            </w:pPr>
          </w:p>
        </w:tc>
        <w:tc>
          <w:tcPr>
            <w:tcW w:w="1038"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课题负责人</w:t>
            </w:r>
          </w:p>
        </w:tc>
        <w:tc>
          <w:tcPr>
            <w:tcW w:w="3357" w:type="pct"/>
            <w:vAlign w:val="center"/>
          </w:tcPr>
          <w:p>
            <w:pPr>
              <w:spacing w:line="360" w:lineRule="auto"/>
              <w:rPr>
                <w:rFonts w:hint="eastAsia" w:ascii="宋体" w:hAnsi="宋体" w:eastAsia="宋体" w:cs="Times New Roman"/>
                <w:position w:val="6"/>
                <w:sz w:val="24"/>
                <w:szCs w:val="21"/>
                <w:lang w:val="en-US" w:eastAsia="zh-CN"/>
              </w:rPr>
            </w:pPr>
            <w:r>
              <w:rPr>
                <w:rFonts w:hint="eastAsia" w:ascii="宋体" w:hAnsi="宋体" w:eastAsia="宋体" w:cs="Times New Roman"/>
                <w:position w:val="6"/>
                <w:sz w:val="24"/>
                <w:szCs w:val="21"/>
                <w:lang w:val="en-US" w:eastAsia="zh-CN"/>
              </w:rPr>
              <w:t>高松涛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3" w:type="pct"/>
            <w:vMerge w:val="continue"/>
            <w:vAlign w:val="center"/>
          </w:tcPr>
          <w:p>
            <w:pPr>
              <w:spacing w:line="360" w:lineRule="auto"/>
              <w:rPr>
                <w:rFonts w:ascii="宋体" w:hAnsi="宋体" w:eastAsia="宋体" w:cs="Times New Roman"/>
                <w:color w:val="000000"/>
                <w:position w:val="6"/>
                <w:sz w:val="24"/>
                <w:szCs w:val="21"/>
              </w:rPr>
            </w:pPr>
          </w:p>
        </w:tc>
        <w:tc>
          <w:tcPr>
            <w:tcW w:w="1038"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联系电话</w:t>
            </w:r>
          </w:p>
        </w:tc>
        <w:tc>
          <w:tcPr>
            <w:tcW w:w="3357" w:type="pct"/>
            <w:vAlign w:val="center"/>
          </w:tcPr>
          <w:p>
            <w:pPr>
              <w:spacing w:line="360" w:lineRule="auto"/>
              <w:rPr>
                <w:rFonts w:ascii="宋体" w:hAnsi="宋体" w:eastAsia="宋体" w:cs="Times New Roman"/>
                <w:position w:val="6"/>
                <w:sz w:val="24"/>
                <w:szCs w:val="21"/>
              </w:rPr>
            </w:pPr>
            <w:r>
              <w:rPr>
                <w:rFonts w:hint="eastAsia" w:ascii="黑体" w:hAnsi="黑体" w:eastAsia="黑体" w:cs="Arial"/>
                <w:color w:val="000000" w:themeColor="text1"/>
                <w14:textFill>
                  <w14:solidFill>
                    <w14:schemeClr w14:val="tx1"/>
                  </w14:solidFill>
                </w14:textFill>
              </w:rPr>
              <w:t>13911379376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603" w:type="pct"/>
            <w:vMerge w:val="continue"/>
            <w:vAlign w:val="center"/>
          </w:tcPr>
          <w:p>
            <w:pPr>
              <w:spacing w:line="360" w:lineRule="auto"/>
              <w:rPr>
                <w:rFonts w:ascii="宋体" w:hAnsi="宋体" w:eastAsia="宋体" w:cs="Times New Roman"/>
                <w:color w:val="000000"/>
                <w:position w:val="6"/>
                <w:sz w:val="24"/>
                <w:szCs w:val="21"/>
              </w:rPr>
            </w:pPr>
          </w:p>
        </w:tc>
        <w:tc>
          <w:tcPr>
            <w:tcW w:w="1038" w:type="pct"/>
            <w:vAlign w:val="center"/>
          </w:tcPr>
          <w:p>
            <w:pPr>
              <w:spacing w:line="360" w:lineRule="auto"/>
              <w:jc w:val="center"/>
              <w:rPr>
                <w:rFonts w:ascii="宋体" w:hAnsi="宋体" w:eastAsia="宋体" w:cs="Times New Roman"/>
                <w:position w:val="6"/>
                <w:sz w:val="24"/>
                <w:szCs w:val="21"/>
              </w:rPr>
            </w:pPr>
            <w:r>
              <w:rPr>
                <w:rFonts w:hint="default" w:ascii="宋体" w:hAnsi="宋体" w:eastAsia="宋体" w:cs="Times New Roman"/>
                <w:position w:val="6"/>
                <w:sz w:val="24"/>
                <w:szCs w:val="21"/>
              </w:rPr>
              <w:t>电子信箱</w:t>
            </w:r>
          </w:p>
        </w:tc>
        <w:tc>
          <w:tcPr>
            <w:tcW w:w="3357" w:type="pct"/>
            <w:vAlign w:val="center"/>
          </w:tcPr>
          <w:p>
            <w:pPr>
              <w:spacing w:line="360" w:lineRule="auto"/>
              <w:rPr>
                <w:rFonts w:ascii="宋体" w:hAnsi="宋体" w:eastAsia="宋体" w:cs="Times New Roman"/>
                <w:position w:val="6"/>
                <w:sz w:val="24"/>
                <w:szCs w:val="21"/>
              </w:rPr>
            </w:pPr>
            <w:r>
              <w:fldChar w:fldCharType="begin"/>
            </w:r>
            <w:r>
              <w:instrText xml:space="preserve"> HYPERLINK "mailto:gaosongtao@cmdi.chinamobile.com" </w:instrText>
            </w:r>
            <w:r>
              <w:fldChar w:fldCharType="separate"/>
            </w:r>
            <w:r>
              <w:rPr>
                <w:rStyle w:val="19"/>
                <w:rFonts w:hint="eastAsia" w:ascii="黑体" w:hAnsi="黑体" w:eastAsia="黑体" w:cs="Arial"/>
                <w:color w:val="000000" w:themeColor="text1"/>
                <w14:textFill>
                  <w14:solidFill>
                    <w14:schemeClr w14:val="tx1"/>
                  </w14:solidFill>
                </w14:textFill>
              </w:rPr>
              <w:t>gaosongtao@cmdi.chinamobile.com</w:t>
            </w:r>
            <w:r>
              <w:rPr>
                <w:rStyle w:val="19"/>
                <w:rFonts w:hint="eastAsia" w:ascii="黑体" w:hAnsi="黑体" w:eastAsia="黑体" w:cs="Arial"/>
                <w:color w:val="000000" w:themeColor="text1"/>
                <w14:textFill>
                  <w14:solidFill>
                    <w14:schemeClr w14:val="tx1"/>
                  </w14:solidFill>
                </w14:textFill>
              </w:rPr>
              <w:fldChar w:fldCharType="end"/>
            </w:r>
            <w:r>
              <w:rPr>
                <w:rFonts w:hint="eastAsia" w:ascii="黑体" w:hAnsi="黑体" w:eastAsia="黑体" w:cs="Arial"/>
                <w:color w:val="000000" w:themeColor="text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642" w:type="pct"/>
            <w:gridSpan w:val="2"/>
            <w:vAlign w:val="center"/>
          </w:tcPr>
          <w:p>
            <w:pPr>
              <w:spacing w:line="360" w:lineRule="auto"/>
              <w:jc w:val="center"/>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类别</w:t>
            </w:r>
          </w:p>
        </w:tc>
        <w:tc>
          <w:tcPr>
            <w:tcW w:w="3357" w:type="pct"/>
            <w:vAlign w:val="center"/>
          </w:tcPr>
          <w:p>
            <w:pPr>
              <w:spacing w:line="360" w:lineRule="auto"/>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 xml:space="preserve">□核心技术攻关     </w:t>
            </w:r>
            <w:r>
              <w:rPr>
                <w:rFonts w:hint="default" w:ascii="宋体" w:hAnsi="宋体" w:eastAsia="宋体" w:cs="Times New Roman"/>
                <w:color w:val="000000"/>
                <w:position w:val="6"/>
                <w:sz w:val="24"/>
                <w:szCs w:val="21"/>
              </w:rPr>
              <w:sym w:font="Wingdings 2" w:char="0052"/>
            </w:r>
            <w:r>
              <w:rPr>
                <w:rFonts w:hint="default" w:ascii="宋体" w:hAnsi="宋体" w:eastAsia="宋体" w:cs="Times New Roman"/>
                <w:color w:val="000000"/>
                <w:position w:val="6"/>
                <w:sz w:val="24"/>
                <w:szCs w:val="21"/>
              </w:rPr>
              <w:t xml:space="preserve"> 应用基础研究     □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1642" w:type="pct"/>
            <w:gridSpan w:val="2"/>
            <w:tcBorders>
              <w:top w:val="single" w:color="auto" w:sz="4" w:space="0"/>
              <w:left w:val="single" w:color="auto" w:sz="4" w:space="0"/>
              <w:bottom w:val="single" w:color="auto" w:sz="4" w:space="0"/>
              <w:right w:val="single" w:color="auto" w:sz="4" w:space="0"/>
            </w:tcBorders>
            <w:vAlign w:val="center"/>
          </w:tcPr>
          <w:p>
            <w:pPr>
              <w:spacing w:line="360" w:lineRule="auto"/>
              <w:jc w:val="left"/>
              <w:rPr>
                <w:rFonts w:ascii="宋体" w:hAnsi="宋体" w:eastAsia="宋体" w:cs="Times New Roman"/>
                <w:color w:val="000000"/>
                <w:position w:val="6"/>
                <w:sz w:val="24"/>
                <w:szCs w:val="21"/>
              </w:rPr>
            </w:pPr>
            <w:r>
              <w:rPr>
                <w:rFonts w:hint="default" w:ascii="宋体" w:hAnsi="宋体" w:eastAsia="宋体" w:cs="Times New Roman"/>
                <w:color w:val="000000"/>
                <w:position w:val="6"/>
                <w:sz w:val="24"/>
                <w:szCs w:val="21"/>
              </w:rPr>
              <w:t>课题主要研究内容(200字以内)</w:t>
            </w:r>
          </w:p>
        </w:tc>
        <w:tc>
          <w:tcPr>
            <w:tcW w:w="3357" w:type="pct"/>
            <w:tcBorders>
              <w:top w:val="single" w:color="auto" w:sz="4" w:space="0"/>
              <w:left w:val="single" w:color="auto" w:sz="4" w:space="0"/>
              <w:bottom w:val="single" w:color="auto" w:sz="4" w:space="0"/>
              <w:right w:val="single" w:color="auto" w:sz="4" w:space="0"/>
            </w:tcBorders>
            <w:vAlign w:val="center"/>
          </w:tcPr>
          <w:p>
            <w:pPr>
              <w:numPr>
                <w:ilvl w:val="1"/>
                <w:numId w:val="2"/>
              </w:numPr>
              <w:tabs>
                <w:tab w:val="left" w:pos="315"/>
                <w:tab w:val="clear" w:pos="1440"/>
              </w:tabs>
              <w:snapToGrid w:val="0"/>
              <w:spacing w:line="360" w:lineRule="auto"/>
              <w:ind w:left="315" w:hanging="283"/>
              <w:jc w:val="both"/>
              <w:rPr>
                <w:rFonts w:hint="default" w:ascii="宋体" w:hAnsi="宋体" w:eastAsia="宋体" w:cs="Times New Roman"/>
                <w:color w:val="000000"/>
                <w:position w:val="6"/>
                <w:sz w:val="21"/>
                <w:szCs w:val="21"/>
                <w:lang w:val="en-US" w:eastAsia="zh-CN"/>
              </w:rPr>
            </w:pPr>
            <w:r>
              <w:rPr>
                <w:rFonts w:hint="eastAsia" w:ascii="宋体" w:hAnsi="宋体" w:eastAsia="宋体" w:cs="Times New Roman"/>
                <w:color w:val="000000"/>
                <w:position w:val="6"/>
                <w:sz w:val="24"/>
                <w:szCs w:val="21"/>
              </w:rPr>
              <w:t>任务1</w:t>
            </w:r>
            <w:r>
              <w:rPr>
                <w:rFonts w:hint="eastAsia" w:ascii="宋体" w:hAnsi="宋体" w:eastAsia="宋体" w:cs="Times New Roman"/>
                <w:color w:val="000000"/>
                <w:position w:val="6"/>
                <w:sz w:val="24"/>
                <w:szCs w:val="21"/>
                <w:lang w:eastAsia="zh-CN"/>
              </w:rPr>
              <w:t>：</w:t>
            </w:r>
            <w:bookmarkStart w:id="2" w:name="_GoBack"/>
            <w:r>
              <w:rPr>
                <w:rFonts w:hint="eastAsia" w:ascii="宋体" w:hAnsi="宋体" w:eastAsia="宋体" w:cs="Times New Roman"/>
                <w:color w:val="000000"/>
                <w:position w:val="6"/>
                <w:sz w:val="24"/>
                <w:szCs w:val="21"/>
                <w:lang w:eastAsia="zh-CN"/>
              </w:rPr>
              <w:t>通感一体网络</w:t>
            </w:r>
            <w:r>
              <w:rPr>
                <w:rFonts w:hint="eastAsia" w:ascii="宋体" w:hAnsi="宋体" w:eastAsia="宋体" w:cs="Times New Roman"/>
                <w:color w:val="000000"/>
                <w:position w:val="6"/>
                <w:sz w:val="24"/>
                <w:szCs w:val="21"/>
                <w:lang w:val="en-US" w:eastAsia="zh-CN"/>
              </w:rPr>
              <w:t>组网</w:t>
            </w:r>
            <w:r>
              <w:rPr>
                <w:rFonts w:hint="eastAsia" w:ascii="宋体" w:hAnsi="宋体" w:eastAsia="宋体" w:cs="Times New Roman"/>
                <w:color w:val="000000"/>
                <w:position w:val="6"/>
                <w:sz w:val="24"/>
                <w:szCs w:val="21"/>
                <w:lang w:eastAsia="zh-CN"/>
              </w:rPr>
              <w:t>关键</w:t>
            </w:r>
            <w:r>
              <w:rPr>
                <w:rFonts w:hint="eastAsia" w:ascii="宋体" w:hAnsi="宋体" w:eastAsia="宋体" w:cs="Times New Roman"/>
                <w:color w:val="000000"/>
                <w:position w:val="6"/>
                <w:sz w:val="24"/>
                <w:szCs w:val="21"/>
                <w:lang w:val="en-US" w:eastAsia="zh-CN"/>
              </w:rPr>
              <w:t>算法研究及验证</w:t>
            </w:r>
            <w:bookmarkEnd w:id="2"/>
          </w:p>
          <w:p>
            <w:pPr>
              <w:keepNext w:val="0"/>
              <w:keepLines w:val="0"/>
              <w:pageBreakBefore w:val="0"/>
              <w:widowControl w:val="0"/>
              <w:numPr>
                <w:ilvl w:val="0"/>
                <w:numId w:val="0"/>
              </w:numPr>
              <w:tabs>
                <w:tab w:val="left" w:pos="315"/>
              </w:tabs>
              <w:kinsoku/>
              <w:wordWrap/>
              <w:overflowPunct/>
              <w:topLinePunct w:val="0"/>
              <w:autoSpaceDE/>
              <w:autoSpaceDN/>
              <w:bidi w:val="0"/>
              <w:adjustRightInd/>
              <w:snapToGrid w:val="0"/>
              <w:spacing w:line="360" w:lineRule="auto"/>
              <w:ind w:left="34" w:leftChars="0" w:firstLine="420" w:firstLineChars="200"/>
              <w:jc w:val="both"/>
              <w:textAlignment w:val="auto"/>
              <w:rPr>
                <w:rFonts w:hint="default" w:ascii="宋体" w:hAnsi="宋体" w:eastAsia="宋体" w:cs="Times New Roman"/>
                <w:color w:val="000000"/>
                <w:position w:val="6"/>
                <w:sz w:val="21"/>
                <w:szCs w:val="21"/>
                <w:lang w:val="en-US" w:eastAsia="zh-CN"/>
              </w:rPr>
            </w:pPr>
            <w:r>
              <w:rPr>
                <w:rFonts w:hint="eastAsia" w:ascii="宋体" w:hAnsi="宋体" w:eastAsia="宋体" w:cs="Times New Roman"/>
                <w:color w:val="000000"/>
                <w:position w:val="6"/>
                <w:sz w:val="21"/>
                <w:szCs w:val="21"/>
                <w:lang w:val="en-US" w:eastAsia="zh-CN"/>
              </w:rPr>
              <w:t>该任务包含5项子目标，包括通感网络指标折算方法、容量测算算法、干扰建模与规避算法、多基站协作感知算法、通感资源配置算法，算法成果将通过仿真验证呈现</w:t>
            </w:r>
          </w:p>
        </w:tc>
      </w:tr>
    </w:tbl>
    <w:p>
      <w:pPr>
        <w:pStyle w:val="2"/>
        <w:rPr>
          <w:rFonts w:hint="eastAsia" w:ascii="Times New Roman" w:hAnsi="Times New Roman"/>
        </w:rPr>
      </w:pPr>
      <w:r>
        <w:rPr>
          <w:rFonts w:hint="eastAsia" w:ascii="Times New Roman" w:hAnsi="Times New Roman"/>
        </w:rPr>
        <w:t>课题研究背景与意义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通感一体化（ISAC），通过空口及协议联合设计、时频空资源复用、硬件设备共享等手段，实现通信与感知功能统一设计，使无线网络在进行高质量通信交互的同时，实现高精度、精细化的感知功能，实现网络整体性能和业务能力的提升，已确定作为6G网络六大应用场景之一。目前通感一体化技术尚处在研究初期，相关基础技术研究还处在探索阶段，提前开展相关技术及算法研究将有利于推动通感一体化技术及产业链发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sz w:val="24"/>
          <w:szCs w:val="32"/>
          <w:lang w:val="en-US" w:eastAsia="zh-CN"/>
        </w:rPr>
      </w:pPr>
      <w:r>
        <w:rPr>
          <w:rFonts w:hint="eastAsia" w:ascii="仿宋" w:hAnsi="仿宋" w:eastAsia="仿宋" w:cs="仿宋"/>
          <w:sz w:val="24"/>
          <w:szCs w:val="32"/>
          <w:lang w:val="en-US" w:eastAsia="zh-CN"/>
        </w:rPr>
        <w:t>本课题将聚焦通感一体化组网关键技术及算法研究，以算法仿真为主要手段，聚焦低空通感场景，实现通感网络组网规划关键算法研究与网络性能仿真验证。本课题研究完成后，将有助于我公司打造成熟的低空通感网络组网规划体系，并为后续通感网络商用落地提供技术支撑。</w:t>
      </w:r>
    </w:p>
    <w:p>
      <w:pPr>
        <w:pStyle w:val="2"/>
        <w:rPr>
          <w:rFonts w:hint="eastAsia" w:ascii="Times New Roman" w:hAnsi="Times New Roman"/>
        </w:rPr>
      </w:pPr>
      <w:r>
        <w:rPr>
          <w:rFonts w:hint="eastAsia" w:ascii="Times New Roman" w:hAnsi="Times New Roman"/>
        </w:rPr>
        <w:t>科研目标与内容</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default" w:ascii="仿宋" w:hAnsi="仿宋" w:eastAsia="仿宋" w:cs="仿宋"/>
          <w:b/>
          <w:color w:val="000000" w:themeColor="text1"/>
          <w:sz w:val="24"/>
          <w:szCs w:val="32"/>
          <w:lang w:val="en-US" w:eastAsia="zh-CN"/>
          <w14:textFill>
            <w14:solidFill>
              <w14:schemeClr w14:val="tx1"/>
            </w14:solidFill>
          </w14:textFill>
        </w:rPr>
      </w:pPr>
      <w:r>
        <w:rPr>
          <w:rFonts w:hint="eastAsia" w:ascii="仿宋" w:hAnsi="仿宋" w:eastAsia="仿宋" w:cs="仿宋"/>
          <w:b/>
          <w:color w:val="000000" w:themeColor="text1"/>
          <w:sz w:val="24"/>
          <w:szCs w:val="32"/>
          <w:lang w:eastAsia="zh-CN"/>
          <w14:textFill>
            <w14:solidFill>
              <w14:schemeClr w14:val="tx1"/>
            </w14:solidFill>
          </w14:textFill>
        </w:rPr>
        <w:t>研究任务：</w:t>
      </w:r>
      <w:r>
        <w:rPr>
          <w:rFonts w:hint="eastAsia" w:ascii="仿宋" w:hAnsi="仿宋" w:eastAsia="仿宋" w:cs="仿宋"/>
          <w:b/>
          <w:color w:val="000000" w:themeColor="text1"/>
          <w:sz w:val="24"/>
          <w:szCs w:val="32"/>
          <w:lang w:val="en-US" w:eastAsia="zh-CN"/>
          <w14:textFill>
            <w14:solidFill>
              <w14:schemeClr w14:val="tx1"/>
            </w14:solidFill>
          </w14:textFill>
        </w:rPr>
        <w:t>通感一体网络关键算法研究及仿真验证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以算法仿真为主要载体，聚焦低空通感场景，实现通感网络关键算法研究与仿真验证工作。该算法仿真验证平台研究中应包含以下算法，并具备以下相应的仿真效果展示能力：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sz w:val="24"/>
          <w:szCs w:val="32"/>
          <w:lang w:val="en-US" w:eastAsia="zh-CN"/>
        </w:rPr>
      </w:pPr>
      <w:r>
        <w:rPr>
          <w:rFonts w:hint="eastAsia" w:ascii="仿宋" w:hAnsi="仿宋" w:eastAsia="仿宋" w:cs="仿宋"/>
          <w:b/>
          <w:color w:val="000000" w:themeColor="text1"/>
          <w:sz w:val="24"/>
          <w:szCs w:val="32"/>
          <w:lang w:val="en-US" w:eastAsia="zh-CN"/>
          <w14:textFill>
            <w14:solidFill>
              <w14:schemeClr w14:val="tx1"/>
            </w14:solidFill>
          </w14:textFill>
        </w:rPr>
        <w:t>1、</w:t>
      </w:r>
      <w:r>
        <w:rPr>
          <w:rFonts w:hint="eastAsia" w:ascii="仿宋" w:hAnsi="仿宋" w:eastAsia="仿宋" w:cs="仿宋"/>
          <w:b/>
          <w:bCs/>
          <w:sz w:val="24"/>
          <w:szCs w:val="32"/>
          <w:lang w:val="en-US" w:eastAsia="zh-CN"/>
        </w:rPr>
        <w:t>感知指标和网络指标的理论折算算法</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sz w:val="24"/>
          <w:szCs w:val="32"/>
          <w:lang w:val="en-US" w:eastAsia="zh-CN"/>
        </w:rPr>
      </w:pPr>
      <w:r>
        <w:rPr>
          <w:rFonts w:hint="eastAsia" w:ascii="仿宋" w:hAnsi="仿宋" w:eastAsia="仿宋" w:cs="仿宋"/>
          <w:sz w:val="24"/>
          <w:szCs w:val="32"/>
          <w:lang w:val="en-US" w:eastAsia="zh-CN"/>
        </w:rPr>
        <w:t>从网络规划的角度，制定基于SINR、RSRP等网络指标映射的通感网络站间距指标折算方法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bCs/>
          <w:sz w:val="24"/>
          <w:szCs w:val="32"/>
          <w:lang w:val="en-US" w:eastAsia="zh-CN"/>
        </w:rPr>
      </w:pPr>
      <w:r>
        <w:rPr>
          <w:rFonts w:hint="eastAsia" w:ascii="仿宋" w:hAnsi="仿宋" w:eastAsia="仿宋" w:cs="仿宋"/>
          <w:b/>
          <w:color w:val="000000" w:themeColor="text1"/>
          <w:sz w:val="24"/>
          <w:szCs w:val="32"/>
          <w:lang w:val="en-US" w:eastAsia="zh-CN"/>
          <w14:textFill>
            <w14:solidFill>
              <w14:schemeClr w14:val="tx1"/>
            </w14:solidFill>
          </w14:textFill>
        </w:rPr>
        <w:t>2、通感网络</w:t>
      </w:r>
      <w:r>
        <w:rPr>
          <w:rFonts w:hint="eastAsia" w:ascii="仿宋" w:hAnsi="仿宋" w:eastAsia="仿宋" w:cs="仿宋"/>
          <w:b/>
          <w:bCs/>
          <w:sz w:val="24"/>
          <w:szCs w:val="32"/>
          <w:lang w:val="en-US" w:eastAsia="zh-CN"/>
        </w:rPr>
        <w:t>感知容量测算算法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lang w:val="en-US" w:eastAsia="zh-CN"/>
        </w:rPr>
      </w:pPr>
      <w:r>
        <w:rPr>
          <w:rFonts w:hint="eastAsia" w:ascii="仿宋" w:hAnsi="仿宋" w:eastAsia="仿宋" w:cs="仿宋"/>
          <w:color w:val="000000" w:themeColor="text1"/>
          <w:sz w:val="24"/>
          <w:szCs w:val="32"/>
          <w:lang w:val="en-US" w:eastAsia="zh-CN"/>
          <w14:textFill>
            <w14:solidFill>
              <w14:schemeClr w14:val="tx1"/>
            </w14:solidFill>
          </w14:textFill>
        </w:rPr>
        <w:t>在</w:t>
      </w:r>
      <w:r>
        <w:rPr>
          <w:rFonts w:hint="eastAsia" w:ascii="仿宋" w:hAnsi="仿宋" w:eastAsia="仿宋" w:cs="仿宋"/>
          <w:sz w:val="24"/>
          <w:szCs w:val="32"/>
          <w:lang w:val="en-US" w:eastAsia="zh-CN"/>
        </w:rPr>
        <w:t>不同资源配置和不同感知性能要求下，制定通感网络理论感知容量与速率的测算算法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sz w:val="24"/>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default" w:ascii="仿宋" w:hAnsi="仿宋" w:eastAsia="仿宋" w:cs="仿宋"/>
          <w:b/>
          <w:bCs/>
          <w:sz w:val="24"/>
          <w:szCs w:val="32"/>
          <w:lang w:val="en-US" w:eastAsia="zh-CN"/>
        </w:rPr>
      </w:pPr>
      <w:r>
        <w:rPr>
          <w:rFonts w:hint="eastAsia" w:ascii="仿宋" w:hAnsi="仿宋" w:eastAsia="仿宋" w:cs="仿宋"/>
          <w:b/>
          <w:color w:val="000000" w:themeColor="text1"/>
          <w:sz w:val="24"/>
          <w:szCs w:val="32"/>
          <w:lang w:val="en-US" w:eastAsia="zh-CN"/>
          <w14:textFill>
            <w14:solidFill>
              <w14:schemeClr w14:val="tx1"/>
            </w14:solidFill>
          </w14:textFill>
        </w:rPr>
        <w:t>3、通感网络干扰建模与规避算法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在现有设备组成的多站组网环境下，分析通信对通信、通信对感知、感知对通信、感知对感知的干扰成因，并开展以上干扰的干扰模型、干扰规避算法研究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default" w:ascii="仿宋" w:hAnsi="仿宋" w:eastAsia="仿宋" w:cs="仿宋"/>
          <w:b/>
          <w:bCs/>
          <w:sz w:val="24"/>
          <w:szCs w:val="32"/>
          <w:lang w:val="en-US" w:eastAsia="zh-CN"/>
        </w:rPr>
      </w:pPr>
      <w:r>
        <w:rPr>
          <w:rFonts w:hint="eastAsia" w:ascii="仿宋" w:hAnsi="仿宋" w:eastAsia="仿宋" w:cs="仿宋"/>
          <w:b/>
          <w:color w:val="000000" w:themeColor="text1"/>
          <w:sz w:val="24"/>
          <w:szCs w:val="32"/>
          <w:lang w:val="en-US" w:eastAsia="zh-CN"/>
          <w14:textFill>
            <w14:solidFill>
              <w14:schemeClr w14:val="tx1"/>
            </w14:solidFill>
          </w14:textFill>
        </w:rPr>
        <w:t>4、通感网络多基站协作感知算法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开展自发自收、多发多收条件下的通感基站协作感知算法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default" w:ascii="仿宋" w:hAnsi="仿宋" w:eastAsia="仿宋" w:cs="仿宋"/>
          <w:b/>
          <w:bCs/>
          <w:sz w:val="24"/>
          <w:szCs w:val="32"/>
          <w:lang w:val="en-US" w:eastAsia="zh-CN"/>
        </w:rPr>
      </w:pPr>
      <w:r>
        <w:rPr>
          <w:rFonts w:hint="eastAsia" w:ascii="仿宋" w:hAnsi="仿宋" w:eastAsia="仿宋" w:cs="仿宋"/>
          <w:b/>
          <w:color w:val="000000" w:themeColor="text1"/>
          <w:sz w:val="24"/>
          <w:szCs w:val="32"/>
          <w:lang w:val="en-US" w:eastAsia="zh-CN"/>
          <w14:textFill>
            <w14:solidFill>
              <w14:schemeClr w14:val="tx1"/>
            </w14:solidFill>
          </w14:textFill>
        </w:rPr>
        <w:t>5、通感网络资源配置算法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评估在采取不同时频域资源配置（即连续波与脉冲波典型配置）、功率配置后通感网络性能，并开展适配不同通信和感知业务需求的动态资源分配算法研究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000000" w:themeColor="text1"/>
          <w:sz w:val="24"/>
          <w:szCs w:val="32"/>
          <w:lang w:val="en-US" w:eastAsia="zh-CN"/>
          <w14:textFill>
            <w14:solidFill>
              <w14:schemeClr w14:val="tx1"/>
            </w14:solidFill>
          </w14:textFill>
        </w:rPr>
      </w:pPr>
    </w:p>
    <w:p>
      <w:pPr>
        <w:pStyle w:val="2"/>
        <w:rPr>
          <w:rFonts w:hint="eastAsia" w:ascii="Times New Roman" w:hAnsi="Times New Roman"/>
        </w:rPr>
      </w:pPr>
      <w:r>
        <w:rPr>
          <w:rFonts w:hint="eastAsia" w:ascii="Times New Roman" w:hAnsi="Times New Roman"/>
        </w:rPr>
        <w:t>预期成果及要求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b/>
          <w:color w:val="000000" w:themeColor="text1"/>
          <w:sz w:val="24"/>
          <w:szCs w:val="32"/>
          <w14:textFill>
            <w14:solidFill>
              <w14:schemeClr w14:val="tx1"/>
            </w14:solidFill>
          </w14:textFill>
        </w:rPr>
      </w:pPr>
      <w:r>
        <w:rPr>
          <w:rFonts w:hint="eastAsia" w:ascii="仿宋" w:hAnsi="仿宋" w:eastAsia="仿宋" w:cs="仿宋"/>
          <w:b/>
          <w:color w:val="000000" w:themeColor="text1"/>
          <w:sz w:val="24"/>
          <w:szCs w:val="32"/>
          <w:lang w:val="en-US" w:eastAsia="zh-CN"/>
          <w14:textFill>
            <w14:solidFill>
              <w14:schemeClr w14:val="tx1"/>
            </w14:solidFill>
          </w14:textFill>
        </w:rPr>
        <w:t>任务：</w:t>
      </w:r>
      <w:r>
        <w:rPr>
          <w:rFonts w:hint="eastAsia" w:ascii="仿宋" w:hAnsi="仿宋" w:eastAsia="仿宋" w:cs="仿宋"/>
          <w:b/>
          <w:color w:val="000000" w:themeColor="text1"/>
          <w:sz w:val="24"/>
          <w:szCs w:val="32"/>
          <w14:textFill>
            <w14:solidFill>
              <w14:schemeClr w14:val="tx1"/>
            </w14:solidFill>
          </w14:textFill>
        </w:rPr>
        <w:t>通感一体网络</w:t>
      </w:r>
      <w:r>
        <w:rPr>
          <w:rFonts w:hint="eastAsia" w:ascii="仿宋" w:hAnsi="仿宋" w:eastAsia="仿宋" w:cs="仿宋"/>
          <w:b/>
          <w:color w:val="000000" w:themeColor="text1"/>
          <w:sz w:val="24"/>
          <w:szCs w:val="32"/>
          <w:lang w:val="en-US" w:eastAsia="zh-CN"/>
          <w14:textFill>
            <w14:solidFill>
              <w14:schemeClr w14:val="tx1"/>
            </w14:solidFill>
          </w14:textFill>
        </w:rPr>
        <w:t>组网</w:t>
      </w:r>
      <w:r>
        <w:rPr>
          <w:rFonts w:hint="eastAsia" w:ascii="仿宋" w:hAnsi="仿宋" w:eastAsia="仿宋" w:cs="仿宋"/>
          <w:b/>
          <w:color w:val="000000" w:themeColor="text1"/>
          <w:sz w:val="24"/>
          <w:szCs w:val="32"/>
          <w14:textFill>
            <w14:solidFill>
              <w14:schemeClr w14:val="tx1"/>
            </w14:solidFill>
          </w14:textFill>
        </w:rPr>
        <w:t>关键算法</w:t>
      </w:r>
      <w:r>
        <w:rPr>
          <w:rFonts w:hint="eastAsia" w:ascii="仿宋" w:hAnsi="仿宋" w:eastAsia="仿宋" w:cs="仿宋"/>
          <w:b/>
          <w:color w:val="000000" w:themeColor="text1"/>
          <w:sz w:val="24"/>
          <w:szCs w:val="32"/>
          <w:lang w:val="en-US" w:eastAsia="zh-CN"/>
          <w14:textFill>
            <w14:solidFill>
              <w14:schemeClr w14:val="tx1"/>
            </w14:solidFill>
          </w14:textFill>
        </w:rPr>
        <w:t>研究及</w:t>
      </w:r>
      <w:r>
        <w:rPr>
          <w:rFonts w:hint="eastAsia" w:ascii="仿宋" w:hAnsi="仿宋" w:eastAsia="仿宋" w:cs="仿宋"/>
          <w:b/>
          <w:color w:val="000000" w:themeColor="text1"/>
          <w:sz w:val="24"/>
          <w:szCs w:val="32"/>
          <w14:textFill>
            <w14:solidFill>
              <w14:schemeClr w14:val="tx1"/>
            </w14:solidFill>
          </w14:textFill>
        </w:rPr>
        <w:t>仿真验证</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预期成果：</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通感一体网络关键算法及仿真验证平台</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《感知指标和网络指标的理论折算算法》研究报告及对应算法原型</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《通感网络感知容量测算算法》研究报告及对应算法原型</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《通感网络干扰建模与规避算法》研究报告及对应算法原型</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w:t>
      </w:r>
      <w:r>
        <w:rPr>
          <w:rFonts w:hint="eastAsia" w:ascii="仿宋" w:hAnsi="仿宋" w:eastAsia="仿宋" w:cs="仿宋"/>
          <w:b w:val="0"/>
          <w:bCs/>
          <w:color w:val="000000" w:themeColor="text1"/>
          <w:sz w:val="24"/>
          <w:szCs w:val="32"/>
          <w:lang w:val="en-US" w:eastAsia="zh-CN"/>
          <w14:textFill>
            <w14:solidFill>
              <w14:schemeClr w14:val="tx1"/>
            </w14:solidFill>
          </w14:textFill>
        </w:rPr>
        <w:t>通感网络多基站协作感知算法</w:t>
      </w:r>
      <w:r>
        <w:rPr>
          <w:rFonts w:hint="eastAsia" w:ascii="仿宋" w:hAnsi="仿宋" w:eastAsia="仿宋" w:cs="仿宋"/>
          <w:color w:val="000000" w:themeColor="text1"/>
          <w:sz w:val="24"/>
          <w:szCs w:val="32"/>
          <w:lang w:val="en-US" w:eastAsia="zh-CN"/>
          <w14:textFill>
            <w14:solidFill>
              <w14:schemeClr w14:val="tx1"/>
            </w14:solidFill>
          </w14:textFill>
        </w:rPr>
        <w:t>》研究报告及对应算法原型</w:t>
      </w:r>
    </w:p>
    <w:p>
      <w:pPr>
        <w:keepNext w:val="0"/>
        <w:keepLines w:val="0"/>
        <w:pageBreakBefore w:val="0"/>
        <w:widowControl w:val="0"/>
        <w:numPr>
          <w:ilvl w:val="0"/>
          <w:numId w:val="3"/>
        </w:numPr>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w:t>
      </w:r>
      <w:r>
        <w:rPr>
          <w:rFonts w:hint="eastAsia" w:ascii="仿宋" w:hAnsi="仿宋" w:eastAsia="仿宋" w:cs="仿宋"/>
          <w:b w:val="0"/>
          <w:bCs/>
          <w:color w:val="000000" w:themeColor="text1"/>
          <w:sz w:val="24"/>
          <w:szCs w:val="32"/>
          <w:lang w:val="en-US" w:eastAsia="zh-CN"/>
          <w14:textFill>
            <w14:solidFill>
              <w14:schemeClr w14:val="tx1"/>
            </w14:solidFill>
          </w14:textFill>
        </w:rPr>
        <w:t>通感网络资源配置算法</w:t>
      </w:r>
      <w:r>
        <w:rPr>
          <w:rFonts w:hint="eastAsia" w:ascii="仿宋" w:hAnsi="仿宋" w:eastAsia="仿宋" w:cs="仿宋"/>
          <w:color w:val="000000" w:themeColor="text1"/>
          <w:sz w:val="24"/>
          <w:szCs w:val="32"/>
          <w:lang w:val="en-US" w:eastAsia="zh-CN"/>
          <w14:textFill>
            <w14:solidFill>
              <w14:schemeClr w14:val="tx1"/>
            </w14:solidFill>
          </w14:textFill>
        </w:rPr>
        <w:t>》研究报告及对应算法原型</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成果要求：</w:t>
      </w:r>
    </w:p>
    <w:p>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算法原型都需具备在算法仿真验证功能，通过输入可调参数对算法进行进行验证与展示；</w:t>
      </w:r>
    </w:p>
    <w:p>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《感知指标和网络指标的理论折算算法》研究报告需描述并提出清晰的可用于规划的指标映射表达式，并需要将仿真结果与实际测试得到数据相比，关键指标差距不超过10%；</w:t>
      </w:r>
    </w:p>
    <w:p>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《通感网络感知容量测算算法》研究报告需给出在单站三扇区条件下，能够同时感知的最大感知目标数仿真，以及对应的容量评价；</w:t>
      </w:r>
    </w:p>
    <w:p>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《通感网络干扰建模与规避算法》研究报告需包含目前网络干扰建模分析与干扰规避方法分析，并结合目前通感网络情况，输出通感网络通-通、通-感、感-通、感-感干扰评估量化理论模型；</w:t>
      </w:r>
    </w:p>
    <w:p>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w:t>
      </w:r>
      <w:r>
        <w:rPr>
          <w:rFonts w:hint="eastAsia" w:ascii="仿宋" w:hAnsi="仿宋" w:eastAsia="仿宋" w:cs="仿宋"/>
          <w:b w:val="0"/>
          <w:bCs/>
          <w:color w:val="000000" w:themeColor="text1"/>
          <w:sz w:val="24"/>
          <w:szCs w:val="32"/>
          <w:lang w:val="en-US" w:eastAsia="zh-CN"/>
          <w14:textFill>
            <w14:solidFill>
              <w14:schemeClr w14:val="tx1"/>
            </w14:solidFill>
          </w14:textFill>
        </w:rPr>
        <w:t>通感网络多基站协作感知算法</w:t>
      </w:r>
      <w:r>
        <w:rPr>
          <w:rFonts w:hint="eastAsia" w:ascii="仿宋" w:hAnsi="仿宋" w:eastAsia="仿宋" w:cs="仿宋"/>
          <w:color w:val="000000" w:themeColor="text1"/>
          <w:sz w:val="24"/>
          <w:szCs w:val="32"/>
          <w:lang w:val="en-US" w:eastAsia="zh-CN"/>
          <w14:textFill>
            <w14:solidFill>
              <w14:schemeClr w14:val="tx1"/>
            </w14:solidFill>
          </w14:textFill>
        </w:rPr>
        <w:t>》研究报告需包含在A发A收、组网协同感知的条件下，基站为满足感知需求而采用的协同感知算法，并评估算法复杂度；</w:t>
      </w:r>
    </w:p>
    <w:p>
      <w:pPr>
        <w:keepNext w:val="0"/>
        <w:keepLines w:val="0"/>
        <w:pageBreakBefore w:val="0"/>
        <w:widowControl w:val="0"/>
        <w:numPr>
          <w:ilvl w:val="0"/>
          <w:numId w:val="4"/>
        </w:numPr>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color w:val="000000" w:themeColor="text1"/>
          <w:sz w:val="24"/>
          <w:szCs w:val="32"/>
          <w:lang w:val="en-US" w:eastAsia="zh-CN"/>
          <w14:textFill>
            <w14:solidFill>
              <w14:schemeClr w14:val="tx1"/>
            </w14:solidFill>
          </w14:textFill>
        </w:rPr>
      </w:pPr>
      <w:r>
        <w:rPr>
          <w:rFonts w:hint="eastAsia" w:ascii="仿宋" w:hAnsi="仿宋" w:eastAsia="仿宋" w:cs="仿宋"/>
          <w:color w:val="000000" w:themeColor="text1"/>
          <w:sz w:val="24"/>
          <w:szCs w:val="32"/>
          <w:lang w:val="en-US" w:eastAsia="zh-CN"/>
          <w14:textFill>
            <w14:solidFill>
              <w14:schemeClr w14:val="tx1"/>
            </w14:solidFill>
          </w14:textFill>
        </w:rPr>
        <w:t>《</w:t>
      </w:r>
      <w:r>
        <w:rPr>
          <w:rFonts w:hint="eastAsia" w:ascii="仿宋" w:hAnsi="仿宋" w:eastAsia="仿宋" w:cs="仿宋"/>
          <w:b w:val="0"/>
          <w:bCs/>
          <w:color w:val="000000" w:themeColor="text1"/>
          <w:sz w:val="24"/>
          <w:szCs w:val="32"/>
          <w:lang w:val="en-US" w:eastAsia="zh-CN"/>
          <w14:textFill>
            <w14:solidFill>
              <w14:schemeClr w14:val="tx1"/>
            </w14:solidFill>
          </w14:textFill>
        </w:rPr>
        <w:t>通感网络资源配置算法</w:t>
      </w:r>
      <w:r>
        <w:rPr>
          <w:rFonts w:hint="eastAsia" w:ascii="仿宋" w:hAnsi="仿宋" w:eastAsia="仿宋" w:cs="仿宋"/>
          <w:color w:val="000000" w:themeColor="text1"/>
          <w:sz w:val="24"/>
          <w:szCs w:val="32"/>
          <w:lang w:val="en-US" w:eastAsia="zh-CN"/>
          <w14:textFill>
            <w14:solidFill>
              <w14:schemeClr w14:val="tx1"/>
            </w14:solidFill>
          </w14:textFill>
        </w:rPr>
        <w:t>》研究报告需提出面向感知指标需求的网络资源动态配置方法，并探索创新组网设计方案。</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color w:val="000000" w:themeColor="text1"/>
          <w:sz w:val="24"/>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eastAsia="仿宋" w:cs="仿宋"/>
          <w:bCs/>
          <w:color w:val="000000" w:themeColor="text1"/>
          <w:sz w:val="24"/>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jc w:val="both"/>
        <w:textAlignment w:val="auto"/>
        <w:rPr>
          <w:rFonts w:hint="default" w:ascii="仿宋" w:hAnsi="仿宋" w:eastAsia="仿宋" w:cs="仿宋"/>
          <w:b/>
          <w:color w:val="000000" w:themeColor="text1"/>
          <w:sz w:val="24"/>
          <w:szCs w:val="32"/>
          <w:lang w:val="en-US" w:eastAsia="zh-CN"/>
          <w14:textFill>
            <w14:solidFill>
              <w14:schemeClr w14:val="tx1"/>
            </w14:solidFill>
          </w14:textFill>
        </w:rPr>
      </w:pPr>
      <w:r>
        <w:rPr>
          <w:rFonts w:hint="eastAsia" w:ascii="仿宋" w:hAnsi="仿宋" w:eastAsia="仿宋" w:cs="仿宋"/>
          <w:b/>
          <w:color w:val="000000" w:themeColor="text1"/>
          <w:sz w:val="24"/>
          <w:szCs w:val="32"/>
          <w:lang w:val="en-US" w:eastAsia="zh-CN"/>
          <w14:textFill>
            <w14:solidFill>
              <w14:schemeClr w14:val="tx1"/>
            </w14:solidFill>
          </w14:textFill>
        </w:rPr>
        <w:t>知识产权任务</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Cs/>
          <w:color w:val="000000" w:themeColor="text1"/>
          <w:sz w:val="24"/>
          <w:szCs w:val="32"/>
          <w:lang w:val="en-US" w:eastAsia="zh-CN"/>
          <w14:textFill>
            <w14:solidFill>
              <w14:schemeClr w14:val="tx1"/>
            </w14:solidFill>
          </w14:textFill>
        </w:rPr>
      </w:pPr>
      <w:r>
        <w:rPr>
          <w:rFonts w:hint="eastAsia" w:ascii="仿宋" w:hAnsi="仿宋" w:eastAsia="仿宋" w:cs="仿宋"/>
          <w:bCs/>
          <w:color w:val="000000" w:themeColor="text1"/>
          <w:sz w:val="24"/>
          <w:szCs w:val="32"/>
          <w:lang w:val="en-US" w:eastAsia="zh-CN"/>
          <w14:textFill>
            <w14:solidFill>
              <w14:schemeClr w14:val="tx1"/>
            </w14:solidFill>
          </w14:textFill>
        </w:rPr>
        <w:t>预期成果：提交2篇专利，该专利需通过中国移动集团评审；提交2篇论文，应被国际知名EI会议或SCI期刊论文检索。</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bCs/>
          <w:color w:val="000000" w:themeColor="text1"/>
          <w:sz w:val="24"/>
          <w:szCs w:val="32"/>
          <w:lang w:val="en-US" w:eastAsia="zh-CN"/>
          <w14:textFill>
            <w14:solidFill>
              <w14:schemeClr w14:val="tx1"/>
            </w14:solidFill>
          </w14:textFill>
        </w:rPr>
      </w:pPr>
      <w:r>
        <w:rPr>
          <w:rFonts w:hint="eastAsia" w:ascii="仿宋" w:hAnsi="仿宋" w:eastAsia="仿宋" w:cs="仿宋"/>
          <w:bCs/>
          <w:color w:val="000000" w:themeColor="text1"/>
          <w:sz w:val="24"/>
          <w:szCs w:val="32"/>
          <w:lang w:val="en-US" w:eastAsia="zh-CN"/>
          <w14:textFill>
            <w14:solidFill>
              <w14:schemeClr w14:val="tx1"/>
            </w14:solidFill>
          </w14:textFill>
        </w:rPr>
        <w:t>注：专利应按照中国移动通信集团标准专利模版书写，第一作者与权利人需是中国移动员工；论文中作者排序，中国移动员工应第二作者（含）以上。</w:t>
      </w:r>
    </w:p>
    <w:p>
      <w:pPr>
        <w:snapToGrid w:val="0"/>
        <w:spacing w:line="360" w:lineRule="auto"/>
        <w:ind w:firstLine="420"/>
        <w:jc w:val="both"/>
        <w:rPr>
          <w:rFonts w:hint="default" w:ascii="仿宋" w:hAnsi="仿宋" w:eastAsia="仿宋" w:cs="仿宋"/>
          <w:color w:val="000000" w:themeColor="text1"/>
          <w:sz w:val="24"/>
          <w:szCs w:val="32"/>
          <w:lang w:val="en-US" w:eastAsia="zh-CN"/>
          <w14:textFill>
            <w14:solidFill>
              <w14:schemeClr w14:val="tx1"/>
            </w14:solidFill>
          </w14:textFill>
        </w:rPr>
      </w:pPr>
    </w:p>
    <w:p>
      <w:pPr>
        <w:rPr>
          <w:rFonts w:hint="eastAsia"/>
        </w:rPr>
      </w:pPr>
    </w:p>
    <w:p>
      <w:pPr>
        <w:pStyle w:val="2"/>
        <w:rPr>
          <w:rFonts w:hint="eastAsia" w:ascii="Times New Roman" w:hAnsi="Times New Roman"/>
        </w:rPr>
      </w:pPr>
      <w:r>
        <w:rPr>
          <w:rFonts w:hint="eastAsia" w:ascii="Times New Roman" w:hAnsi="Times New Roman"/>
        </w:rPr>
        <w:t>课题时间要求</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仿宋" w:hAnsi="仿宋" w:eastAsia="仿宋" w:cs="仿宋"/>
          <w:bCs/>
          <w:color w:val="000000" w:themeColor="text1"/>
          <w:sz w:val="24"/>
          <w:szCs w:val="32"/>
          <w:lang w:val="en-US"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default" w:ascii="仿宋" w:hAnsi="仿宋" w:eastAsia="仿宋" w:cs="仿宋"/>
          <w:bCs/>
          <w:color w:val="000000" w:themeColor="text1"/>
          <w:sz w:val="24"/>
          <w:szCs w:val="32"/>
          <w:lang w:val="en-US" w:eastAsia="zh-CN"/>
          <w14:textFill>
            <w14:solidFill>
              <w14:schemeClr w14:val="tx1"/>
            </w14:solidFill>
          </w14:textFill>
        </w:rPr>
      </w:pPr>
      <w:r>
        <w:rPr>
          <w:rFonts w:hint="eastAsia" w:ascii="仿宋" w:hAnsi="仿宋" w:eastAsia="仿宋" w:cs="仿宋"/>
          <w:bCs/>
          <w:color w:val="000000" w:themeColor="text1"/>
          <w:sz w:val="24"/>
          <w:szCs w:val="32"/>
          <w:lang w:val="en-US" w:eastAsia="zh-CN"/>
          <w14:textFill>
            <w14:solidFill>
              <w14:schemeClr w14:val="tx1"/>
            </w14:solidFill>
          </w14:textFill>
        </w:rPr>
        <w:t>2024年1月-2024年12月：完成1套通感一体演示及仿真系统验证平台，5篇算法研究报告（算法研究报告可适当整合）、申请发明专利2项、SCI或EI级别论文2篇。</w:t>
      </w:r>
    </w:p>
    <w:p>
      <w:pPr>
        <w:snapToGrid w:val="0"/>
        <w:spacing w:line="360" w:lineRule="auto"/>
        <w:ind w:firstLine="420"/>
        <w:jc w:val="both"/>
        <w:rPr>
          <w:rFonts w:hint="default" w:ascii="仿宋" w:hAnsi="仿宋" w:eastAsia="仿宋" w:cs="仿宋"/>
          <w:bCs/>
          <w:color w:val="000000" w:themeColor="text1"/>
          <w:sz w:val="24"/>
          <w:szCs w:val="32"/>
          <w:lang w:val="en-US" w:eastAsia="zh-CN"/>
          <w14:textFill>
            <w14:solidFill>
              <w14:schemeClr w14:val="tx1"/>
            </w14:solidFill>
          </w14:textFill>
        </w:rPr>
      </w:pPr>
    </w:p>
    <w:p>
      <w:pPr>
        <w:pStyle w:val="2"/>
        <w:rPr>
          <w:rFonts w:hint="eastAsia" w:ascii="Times New Roman" w:hAnsi="Times New Roman"/>
        </w:rPr>
      </w:pPr>
      <w:r>
        <w:rPr>
          <w:rFonts w:hint="eastAsia" w:ascii="Times New Roman" w:hAnsi="Times New Roman"/>
        </w:rPr>
        <w:t>合作团队与配套需求</w:t>
      </w:r>
    </w:p>
    <w:p>
      <w:pPr>
        <w:pStyle w:val="30"/>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ascii="Times New Roman" w:hAnsi="Times New Roman" w:eastAsia="宋体"/>
          <w:bCs/>
          <w:color w:val="FF0000"/>
          <w:sz w:val="28"/>
          <w:szCs w:val="28"/>
        </w:rPr>
      </w:pPr>
      <w:r>
        <w:rPr>
          <w:rFonts w:hint="eastAsia" w:ascii="仿宋" w:hAnsi="仿宋" w:eastAsia="仿宋" w:cs="仿宋"/>
          <w:bCs/>
          <w:color w:val="auto"/>
          <w:sz w:val="24"/>
          <w:szCs w:val="24"/>
        </w:rPr>
        <w:t>教授或副教授或相当专家，在移动通信领域具有深厚的积累</w:t>
      </w:r>
      <w:r>
        <w:rPr>
          <w:rFonts w:hint="eastAsia" w:ascii="仿宋" w:hAnsi="仿宋" w:eastAsia="仿宋" w:cs="仿宋"/>
          <w:b/>
          <w:color w:val="auto"/>
          <w:sz w:val="24"/>
          <w:szCs w:val="24"/>
        </w:rPr>
        <w:t>；</w:t>
      </w:r>
    </w:p>
    <w:p>
      <w:pPr>
        <w:pStyle w:val="30"/>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每年至少投入若干名研究生及以上学历的学生或相关专家承担技术研究，</w:t>
      </w:r>
      <w:r>
        <w:rPr>
          <w:rFonts w:hint="eastAsia" w:ascii="仿宋" w:hAnsi="仿宋" w:eastAsia="仿宋" w:cs="仿宋"/>
          <w:b/>
          <w:bCs/>
          <w:color w:val="auto"/>
          <w:sz w:val="24"/>
          <w:szCs w:val="24"/>
        </w:rPr>
        <w:t>专业为电子科学与技术或信息与通信工程</w:t>
      </w:r>
      <w:r>
        <w:rPr>
          <w:rFonts w:hint="eastAsia" w:ascii="仿宋" w:hAnsi="仿宋" w:eastAsia="仿宋" w:cs="仿宋"/>
          <w:bCs/>
          <w:color w:val="auto"/>
          <w:sz w:val="24"/>
          <w:szCs w:val="24"/>
        </w:rPr>
        <w:t>，需分别具备</w:t>
      </w:r>
      <w:r>
        <w:rPr>
          <w:rFonts w:hint="eastAsia" w:ascii="仿宋" w:hAnsi="仿宋" w:eastAsia="仿宋" w:cs="仿宋"/>
          <w:bCs/>
          <w:color w:val="auto"/>
          <w:sz w:val="24"/>
          <w:szCs w:val="24"/>
          <w:lang w:val="en-US" w:eastAsia="zh-CN"/>
        </w:rPr>
        <w:t>算法研究、数据测试、硬件产品研究</w:t>
      </w:r>
      <w:r>
        <w:rPr>
          <w:rFonts w:hint="eastAsia" w:ascii="仿宋" w:hAnsi="仿宋" w:eastAsia="仿宋" w:cs="仿宋"/>
          <w:bCs/>
          <w:color w:val="auto"/>
          <w:sz w:val="24"/>
          <w:szCs w:val="24"/>
        </w:rPr>
        <w:t>和</w:t>
      </w:r>
      <w:r>
        <w:rPr>
          <w:rFonts w:hint="eastAsia" w:ascii="仿宋" w:hAnsi="仿宋" w:eastAsia="仿宋" w:cs="仿宋"/>
          <w:bCs/>
          <w:color w:val="auto"/>
          <w:sz w:val="24"/>
          <w:szCs w:val="24"/>
          <w:lang w:val="en-US" w:eastAsia="zh-CN"/>
        </w:rPr>
        <w:t>仿真</w:t>
      </w:r>
      <w:r>
        <w:rPr>
          <w:rFonts w:hint="eastAsia" w:ascii="仿宋" w:hAnsi="仿宋" w:eastAsia="仿宋" w:cs="仿宋"/>
          <w:bCs/>
          <w:color w:val="auto"/>
          <w:sz w:val="24"/>
          <w:szCs w:val="24"/>
        </w:rPr>
        <w:t>环境搭建能力、相关技术的理论分析和方案设计能力，保证项目进度和质量</w:t>
      </w:r>
      <w:r>
        <w:rPr>
          <w:rFonts w:hint="eastAsia" w:ascii="仿宋" w:hAnsi="仿宋" w:eastAsia="仿宋" w:cs="仿宋"/>
          <w:bCs/>
          <w:color w:val="auto"/>
          <w:sz w:val="24"/>
          <w:szCs w:val="24"/>
          <w:lang w:eastAsia="zh-CN"/>
        </w:rPr>
        <w:t>；</w:t>
      </w:r>
    </w:p>
    <w:p>
      <w:pPr>
        <w:pStyle w:val="30"/>
        <w:keepNext w:val="0"/>
        <w:keepLines w:val="0"/>
        <w:pageBreakBefore w:val="0"/>
        <w:widowControl w:val="0"/>
        <w:numPr>
          <w:ilvl w:val="0"/>
          <w:numId w:val="5"/>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rPr>
        <w:t>合作团队需具备</w:t>
      </w:r>
      <w:r>
        <w:rPr>
          <w:rFonts w:hint="eastAsia" w:ascii="仿宋" w:hAnsi="仿宋" w:eastAsia="仿宋" w:cs="仿宋"/>
          <w:bCs/>
          <w:color w:val="auto"/>
          <w:sz w:val="24"/>
          <w:szCs w:val="24"/>
          <w:lang w:val="en-US" w:eastAsia="zh-CN"/>
        </w:rPr>
        <w:t>通感一体化、雷达、无线通信等相关知识储备，并具备跟进3GPP、ITU等标准化演进能力，可根据具体需求对研发方向进行调整；</w:t>
      </w:r>
    </w:p>
    <w:p>
      <w:pPr>
        <w:pStyle w:val="30"/>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rPr>
          <w:rFonts w:hint="eastAsia" w:ascii="仿宋" w:hAnsi="仿宋" w:eastAsia="仿宋" w:cs="仿宋"/>
          <w:bCs/>
          <w:color w:val="auto"/>
          <w:sz w:val="24"/>
          <w:szCs w:val="24"/>
        </w:rPr>
      </w:pPr>
    </w:p>
    <w:p>
      <w:pPr>
        <w:pStyle w:val="2"/>
        <w:rPr>
          <w:rFonts w:ascii="Times New Roman" w:hAnsi="Times New Roman" w:eastAsia="宋体"/>
          <w:b/>
        </w:rPr>
      </w:pPr>
      <w:r>
        <w:rPr>
          <w:rFonts w:hint="eastAsia" w:ascii="Times New Roman" w:hAnsi="Times New Roman" w:eastAsia="宋体"/>
          <w:b/>
        </w:rPr>
        <w:t>知识产权要求</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30"/>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b/>
          <w:bCs/>
          <w:szCs w:val="21"/>
          <w:highlight w:val="none"/>
        </w:rPr>
      </w:pPr>
      <w:r>
        <w:rPr>
          <w:rFonts w:hint="eastAsia" w:ascii="仿宋" w:hAnsi="仿宋" w:eastAsia="仿宋" w:cs="仿宋"/>
          <w:b/>
          <w:bCs/>
          <w:szCs w:val="21"/>
          <w:highlight w:val="none"/>
        </w:rPr>
        <w:t>附：知识产权说明</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1.1甲乙双方同意并确认，一方原有的技术成果及其相关知识产权归原持有方所有；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1.2甲乙双方同意并确认，甲乙双方合作过程中产生的技术成果及其相关知识产权遵循课题任务书合同的约定，但不得约定除本协议甲方独有、本协议甲乙双方共有以外的其他知识产权归属情形。知识产权申请、维护过程中产生的相关费用在甲方投入到联合实验室的经费中列支。联合实验室合作结束后，甲乙双方可对联合实验室设立运行期间产生的已有的共有知识产权权益（包括不限于维持费用）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1.3联合实验室合作结束后，任何一方均可在联合实验室运行期间产生的甲乙双方共有成果的基础上自行开展研究，由此产生的研究成果（以下称为“自研成果”）及其相关知识产权归完成方所有，不视为联合实验室项目范围内的成果，不归甲乙双方共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2.使用权约定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2.1 如联合实验室下课题任务书合同中约定知识产权归甲方独有的：</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（1）甲方可免费自用实施知识产权，甲方的关联公司实施的，视为甲方自用实施；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（2）乙方可利用甲方独有知识产权开展研发相关工作，后续研发成果由乙方所有。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2.2 双方共有知识产权：</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（1）甲方可免费自用实施双方共有知识产权，范围包括所有中国移动关联公司的实施；</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（2）乙方可利用双方共有知识产权开展研发相关工作，后续研发成果由乙方所有；</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（3）甲方拥有共有知识产权的运营权利。乙方拥有知识产权运营的收益分成的权利，具体分配方案另行约定；</w:t>
      </w:r>
    </w:p>
    <w:p>
      <w:pPr>
        <w:pStyle w:val="30"/>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（4）乙方征得甲方同意可对共有知识产权开展许可运营。甲方拥有许可运营的收益分成的权利，具体分配方案另行约定。</w:t>
      </w:r>
    </w:p>
    <w:p>
      <w:pPr>
        <w:pStyle w:val="30"/>
        <w:ind w:firstLine="0" w:firstLineChars="0"/>
        <w:rPr>
          <w:rFonts w:ascii="Times New Roman" w:hAnsi="Times New Roman" w:eastAsia="宋体"/>
          <w:sz w:val="32"/>
          <w:szCs w:val="32"/>
        </w:rPr>
      </w:pPr>
      <w:r>
        <w:rPr>
          <w:rFonts w:hint="default" w:ascii="Times New Roman" w:hAnsi="Times New Roman" w:eastAsia="宋体"/>
          <w:sz w:val="32"/>
          <w:szCs w:val="32"/>
        </w:rPr>
        <w:t>---------------</w:t>
      </w:r>
    </w:p>
    <w:p>
      <w:pPr>
        <w:pStyle w:val="2"/>
        <w:rPr>
          <w:rFonts w:ascii="Times New Roman" w:hAnsi="Times New Roman" w:eastAsia="宋体"/>
          <w:b/>
        </w:rPr>
      </w:pPr>
      <w:r>
        <w:rPr>
          <w:rFonts w:hint="eastAsia" w:ascii="Times New Roman" w:hAnsi="Times New Roman" w:eastAsia="宋体"/>
          <w:b/>
        </w:rPr>
        <w:t>其他说明</w:t>
      </w:r>
    </w:p>
    <w:p>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ascii="Times New Roman" w:hAnsi="Times New Roman" w:eastAsia="仿宋_GB2312"/>
          <w:sz w:val="32"/>
          <w:szCs w:val="32"/>
        </w:rPr>
      </w:pPr>
      <w:r>
        <w:rPr>
          <w:rFonts w:hint="eastAsia" w:ascii="仿宋" w:hAnsi="仿宋" w:eastAsia="仿宋" w:cs="仿宋"/>
          <w:b/>
          <w:sz w:val="28"/>
          <w:szCs w:val="28"/>
          <w:lang w:val="en-US" w:eastAsia="zh-CN"/>
        </w:rPr>
        <w:t>该课题预计投入金额为1年60万元</w:t>
      </w:r>
    </w:p>
    <w:sectPr>
      <w:footerReference r:id="rId4" w:type="default"/>
      <w:pgSz w:w="11906" w:h="16838"/>
      <w:pgMar w:top="1361" w:right="1797" w:bottom="1361" w:left="179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00"/>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00"/>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ヒラギノ角ゴ Pro W3">
    <w:altName w:val="Times New Roman"/>
    <w:panose1 w:val="00000000000000000000"/>
    <w:charset w:val="00"/>
    <w:family w:val="roman"/>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rPr>
        <w:rFonts w:hint="eastAsia"/>
      </w:rP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w:t>
    </w:r>
    <w:r>
      <w:rPr>
        <w:b/>
        <w:bCs/>
        <w:sz w:val="24"/>
        <w:szCs w:val="24"/>
      </w:rPr>
      <w:fldChar w:fldCharType="end"/>
    </w:r>
    <w:r>
      <w:rPr>
        <w:lang w:val="zh-CN"/>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D15E0E"/>
    <w:multiLevelType w:val="singleLevel"/>
    <w:tmpl w:val="20D15E0E"/>
    <w:lvl w:ilvl="0" w:tentative="0">
      <w:start w:val="1"/>
      <w:numFmt w:val="decimal"/>
      <w:suff w:val="space"/>
      <w:lvlText w:val="%1."/>
      <w:lvlJc w:val="left"/>
      <w:rPr>
        <w:rFonts w:hint="default"/>
        <w:b w:val="0"/>
        <w:bCs w:val="0"/>
        <w:color w:val="auto"/>
      </w:rPr>
    </w:lvl>
  </w:abstractNum>
  <w:abstractNum w:abstractNumId="1">
    <w:nsid w:val="4C1E71DA"/>
    <w:multiLevelType w:val="multilevel"/>
    <w:tmpl w:val="4C1E71DA"/>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54FCD0F6"/>
    <w:multiLevelType w:val="singleLevel"/>
    <w:tmpl w:val="54FCD0F6"/>
    <w:lvl w:ilvl="0" w:tentative="0">
      <w:start w:val="1"/>
      <w:numFmt w:val="decimal"/>
      <w:suff w:val="space"/>
      <w:lvlText w:val="%1、"/>
      <w:lvlJc w:val="left"/>
    </w:lvl>
  </w:abstractNum>
  <w:abstractNum w:abstractNumId="3">
    <w:nsid w:val="62732CC1"/>
    <w:multiLevelType w:val="multilevel"/>
    <w:tmpl w:val="62732CC1"/>
    <w:lvl w:ilvl="0" w:tentative="0">
      <w:start w:val="1"/>
      <w:numFmt w:val="japaneseCounting"/>
      <w:pStyle w:val="2"/>
      <w:lvlText w:val="%1、"/>
      <w:lvlJc w:val="left"/>
      <w:pPr>
        <w:ind w:left="740" w:hanging="740"/>
      </w:pPr>
      <w:rPr>
        <w:rFonts w:ascii="仿宋_GB2312" w:hAnsi="仿宋" w:eastAsia="仿宋_GB2312" w:cs="Times New Roman"/>
      </w:rPr>
    </w:lvl>
    <w:lvl w:ilvl="1" w:tentative="0">
      <w:start w:val="1"/>
      <w:numFmt w:val="chineseCountingThousand"/>
      <w:lvlText w:val="(%2)"/>
      <w:lvlJc w:val="left"/>
      <w:pPr>
        <w:ind w:left="840" w:hanging="420"/>
      </w:pPr>
    </w:lvl>
    <w:lvl w:ilvl="2" w:tentative="0">
      <w:start w:val="1"/>
      <w:numFmt w:val="decimal"/>
      <w:lvlText w:val="%3."/>
      <w:lvlJc w:val="left"/>
      <w:pPr>
        <w:ind w:left="1260" w:hanging="420"/>
      </w:pPr>
    </w:lvl>
    <w:lvl w:ilvl="3" w:tentative="0">
      <w:start w:val="1"/>
      <w:numFmt w:val="decimal"/>
      <w:lvlText w:val="（%4）"/>
      <w:lvlJc w:val="left"/>
      <w:pPr>
        <w:ind w:left="1980" w:hanging="72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4973E99"/>
    <w:multiLevelType w:val="singleLevel"/>
    <w:tmpl w:val="74973E99"/>
    <w:lvl w:ilvl="0" w:tentative="0">
      <w:start w:val="1"/>
      <w:numFmt w:val="decimal"/>
      <w:suff w:val="space"/>
      <w:lvlText w:val="%1、"/>
      <w:lvlJc w:val="left"/>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7EwNTIzNTQzNzYzN7dQ0lEKTi0uzszPAykwrAUA/ioyvCwAAAA="/>
  </w:docVars>
  <w:rsids>
    <w:rsidRoot w:val="00071D7C"/>
    <w:rsid w:val="00001706"/>
    <w:rsid w:val="00003B8D"/>
    <w:rsid w:val="00010577"/>
    <w:rsid w:val="0001197B"/>
    <w:rsid w:val="00012DA1"/>
    <w:rsid w:val="00013908"/>
    <w:rsid w:val="00022FFB"/>
    <w:rsid w:val="00023AF1"/>
    <w:rsid w:val="00023EE5"/>
    <w:rsid w:val="00024BBA"/>
    <w:rsid w:val="00025327"/>
    <w:rsid w:val="00030876"/>
    <w:rsid w:val="00031F2A"/>
    <w:rsid w:val="000349C8"/>
    <w:rsid w:val="00034C9F"/>
    <w:rsid w:val="000356CB"/>
    <w:rsid w:val="000378CF"/>
    <w:rsid w:val="00040BFC"/>
    <w:rsid w:val="0004113E"/>
    <w:rsid w:val="00045275"/>
    <w:rsid w:val="00046C41"/>
    <w:rsid w:val="00050F80"/>
    <w:rsid w:val="00052FD7"/>
    <w:rsid w:val="00055985"/>
    <w:rsid w:val="00056263"/>
    <w:rsid w:val="000577C1"/>
    <w:rsid w:val="00057A82"/>
    <w:rsid w:val="00062004"/>
    <w:rsid w:val="000648AA"/>
    <w:rsid w:val="00071D7C"/>
    <w:rsid w:val="0007515F"/>
    <w:rsid w:val="00076AD8"/>
    <w:rsid w:val="000813DA"/>
    <w:rsid w:val="00087941"/>
    <w:rsid w:val="00091F51"/>
    <w:rsid w:val="00093562"/>
    <w:rsid w:val="0009423E"/>
    <w:rsid w:val="000A38AE"/>
    <w:rsid w:val="000B11AC"/>
    <w:rsid w:val="000B5279"/>
    <w:rsid w:val="000B5BA2"/>
    <w:rsid w:val="000B7814"/>
    <w:rsid w:val="000C4290"/>
    <w:rsid w:val="000D0BB9"/>
    <w:rsid w:val="000D3362"/>
    <w:rsid w:val="000E1723"/>
    <w:rsid w:val="000E37FE"/>
    <w:rsid w:val="000F514A"/>
    <w:rsid w:val="00100DC9"/>
    <w:rsid w:val="00101409"/>
    <w:rsid w:val="00103C31"/>
    <w:rsid w:val="00105736"/>
    <w:rsid w:val="0011102E"/>
    <w:rsid w:val="0011585E"/>
    <w:rsid w:val="00120596"/>
    <w:rsid w:val="0012174F"/>
    <w:rsid w:val="00122199"/>
    <w:rsid w:val="001405C8"/>
    <w:rsid w:val="00142D64"/>
    <w:rsid w:val="00145024"/>
    <w:rsid w:val="00145CDB"/>
    <w:rsid w:val="00151E3A"/>
    <w:rsid w:val="001536A3"/>
    <w:rsid w:val="001553FF"/>
    <w:rsid w:val="00157451"/>
    <w:rsid w:val="00164CF6"/>
    <w:rsid w:val="0017123F"/>
    <w:rsid w:val="00171700"/>
    <w:rsid w:val="001816A7"/>
    <w:rsid w:val="00185B55"/>
    <w:rsid w:val="00192B55"/>
    <w:rsid w:val="001934EE"/>
    <w:rsid w:val="00195390"/>
    <w:rsid w:val="001965F3"/>
    <w:rsid w:val="001B01E4"/>
    <w:rsid w:val="001B1A04"/>
    <w:rsid w:val="001B1A06"/>
    <w:rsid w:val="001B5D0A"/>
    <w:rsid w:val="001C1B68"/>
    <w:rsid w:val="001C4AE7"/>
    <w:rsid w:val="001C57FC"/>
    <w:rsid w:val="001C6768"/>
    <w:rsid w:val="001D790F"/>
    <w:rsid w:val="001D7C8C"/>
    <w:rsid w:val="001E5CB6"/>
    <w:rsid w:val="001E749F"/>
    <w:rsid w:val="001F0F85"/>
    <w:rsid w:val="001F4D7C"/>
    <w:rsid w:val="001F5F67"/>
    <w:rsid w:val="001F6E50"/>
    <w:rsid w:val="00210BEA"/>
    <w:rsid w:val="00217651"/>
    <w:rsid w:val="00217F64"/>
    <w:rsid w:val="00220142"/>
    <w:rsid w:val="002214EF"/>
    <w:rsid w:val="002221A7"/>
    <w:rsid w:val="00231737"/>
    <w:rsid w:val="002318D4"/>
    <w:rsid w:val="00233CF7"/>
    <w:rsid w:val="00233F00"/>
    <w:rsid w:val="00252CBD"/>
    <w:rsid w:val="0026612F"/>
    <w:rsid w:val="002677AD"/>
    <w:rsid w:val="00267E69"/>
    <w:rsid w:val="00270FE1"/>
    <w:rsid w:val="00275274"/>
    <w:rsid w:val="00275DC5"/>
    <w:rsid w:val="002802EA"/>
    <w:rsid w:val="00281004"/>
    <w:rsid w:val="002852DC"/>
    <w:rsid w:val="00285784"/>
    <w:rsid w:val="00285B85"/>
    <w:rsid w:val="00285D21"/>
    <w:rsid w:val="00287FDA"/>
    <w:rsid w:val="00293DB4"/>
    <w:rsid w:val="00294B7A"/>
    <w:rsid w:val="002A2EA5"/>
    <w:rsid w:val="002B016B"/>
    <w:rsid w:val="002B3B71"/>
    <w:rsid w:val="002B4087"/>
    <w:rsid w:val="002B5B37"/>
    <w:rsid w:val="002C0509"/>
    <w:rsid w:val="002C14D9"/>
    <w:rsid w:val="002C4068"/>
    <w:rsid w:val="002C689F"/>
    <w:rsid w:val="002D0040"/>
    <w:rsid w:val="002D2144"/>
    <w:rsid w:val="002D4D7A"/>
    <w:rsid w:val="002D7FAD"/>
    <w:rsid w:val="002E480F"/>
    <w:rsid w:val="002E5F15"/>
    <w:rsid w:val="002E61E8"/>
    <w:rsid w:val="002F0817"/>
    <w:rsid w:val="002F2346"/>
    <w:rsid w:val="002F3367"/>
    <w:rsid w:val="002F3CD8"/>
    <w:rsid w:val="002F4683"/>
    <w:rsid w:val="002F6DF8"/>
    <w:rsid w:val="002F6F98"/>
    <w:rsid w:val="003005D9"/>
    <w:rsid w:val="00303AA9"/>
    <w:rsid w:val="00304C91"/>
    <w:rsid w:val="003056FB"/>
    <w:rsid w:val="00305A80"/>
    <w:rsid w:val="00312A6D"/>
    <w:rsid w:val="003135B8"/>
    <w:rsid w:val="00314D64"/>
    <w:rsid w:val="0031520F"/>
    <w:rsid w:val="003162A8"/>
    <w:rsid w:val="0031681C"/>
    <w:rsid w:val="00320078"/>
    <w:rsid w:val="00320B7F"/>
    <w:rsid w:val="00321794"/>
    <w:rsid w:val="00321A05"/>
    <w:rsid w:val="00323D2C"/>
    <w:rsid w:val="003338A0"/>
    <w:rsid w:val="003339C0"/>
    <w:rsid w:val="00334CE0"/>
    <w:rsid w:val="00335D8A"/>
    <w:rsid w:val="00336346"/>
    <w:rsid w:val="00336901"/>
    <w:rsid w:val="00342C85"/>
    <w:rsid w:val="00355C22"/>
    <w:rsid w:val="00356EA5"/>
    <w:rsid w:val="003603A9"/>
    <w:rsid w:val="0036199B"/>
    <w:rsid w:val="00363477"/>
    <w:rsid w:val="0036378F"/>
    <w:rsid w:val="00363E0C"/>
    <w:rsid w:val="00371133"/>
    <w:rsid w:val="0037443C"/>
    <w:rsid w:val="003745D6"/>
    <w:rsid w:val="0037467F"/>
    <w:rsid w:val="00376613"/>
    <w:rsid w:val="00387238"/>
    <w:rsid w:val="00391330"/>
    <w:rsid w:val="003939EE"/>
    <w:rsid w:val="00396110"/>
    <w:rsid w:val="003964B6"/>
    <w:rsid w:val="003A0DA6"/>
    <w:rsid w:val="003A6C6D"/>
    <w:rsid w:val="003B0606"/>
    <w:rsid w:val="003B4E10"/>
    <w:rsid w:val="003B520B"/>
    <w:rsid w:val="003C699A"/>
    <w:rsid w:val="003D1D70"/>
    <w:rsid w:val="003D3B5D"/>
    <w:rsid w:val="003D74CF"/>
    <w:rsid w:val="003E29B7"/>
    <w:rsid w:val="003E3A67"/>
    <w:rsid w:val="003E3C14"/>
    <w:rsid w:val="003E52AD"/>
    <w:rsid w:val="003F0532"/>
    <w:rsid w:val="003F079B"/>
    <w:rsid w:val="003F0D37"/>
    <w:rsid w:val="003F0D49"/>
    <w:rsid w:val="003F5270"/>
    <w:rsid w:val="003F7C2A"/>
    <w:rsid w:val="00400EEB"/>
    <w:rsid w:val="00401DFA"/>
    <w:rsid w:val="00402997"/>
    <w:rsid w:val="004039F2"/>
    <w:rsid w:val="00404ED9"/>
    <w:rsid w:val="00411FDD"/>
    <w:rsid w:val="0041277C"/>
    <w:rsid w:val="00414AD6"/>
    <w:rsid w:val="004218F4"/>
    <w:rsid w:val="00423C1B"/>
    <w:rsid w:val="00426722"/>
    <w:rsid w:val="0042750A"/>
    <w:rsid w:val="00436909"/>
    <w:rsid w:val="00443880"/>
    <w:rsid w:val="00450C16"/>
    <w:rsid w:val="00454DFA"/>
    <w:rsid w:val="00454E9C"/>
    <w:rsid w:val="00455471"/>
    <w:rsid w:val="00456490"/>
    <w:rsid w:val="00462230"/>
    <w:rsid w:val="004625C1"/>
    <w:rsid w:val="0046277B"/>
    <w:rsid w:val="004629D7"/>
    <w:rsid w:val="004633D8"/>
    <w:rsid w:val="00463C88"/>
    <w:rsid w:val="004649B9"/>
    <w:rsid w:val="00464EA7"/>
    <w:rsid w:val="004674A5"/>
    <w:rsid w:val="004674CB"/>
    <w:rsid w:val="004675D5"/>
    <w:rsid w:val="004704D1"/>
    <w:rsid w:val="0047204B"/>
    <w:rsid w:val="0047706D"/>
    <w:rsid w:val="00477C0C"/>
    <w:rsid w:val="00481429"/>
    <w:rsid w:val="00482A51"/>
    <w:rsid w:val="00492E42"/>
    <w:rsid w:val="004964B6"/>
    <w:rsid w:val="004A086D"/>
    <w:rsid w:val="004A1BE9"/>
    <w:rsid w:val="004A2BDA"/>
    <w:rsid w:val="004A5584"/>
    <w:rsid w:val="004B0152"/>
    <w:rsid w:val="004B4136"/>
    <w:rsid w:val="004C11DB"/>
    <w:rsid w:val="004C2AF2"/>
    <w:rsid w:val="004C2E3C"/>
    <w:rsid w:val="004C5D59"/>
    <w:rsid w:val="004C6A84"/>
    <w:rsid w:val="004C70F6"/>
    <w:rsid w:val="004C7E9A"/>
    <w:rsid w:val="004D68B6"/>
    <w:rsid w:val="004E5460"/>
    <w:rsid w:val="004E56A7"/>
    <w:rsid w:val="004F764E"/>
    <w:rsid w:val="00505F4F"/>
    <w:rsid w:val="00506888"/>
    <w:rsid w:val="00510B1F"/>
    <w:rsid w:val="0051126E"/>
    <w:rsid w:val="00513BB7"/>
    <w:rsid w:val="0051769F"/>
    <w:rsid w:val="0052111B"/>
    <w:rsid w:val="00524F4F"/>
    <w:rsid w:val="0052536A"/>
    <w:rsid w:val="00525730"/>
    <w:rsid w:val="00530E36"/>
    <w:rsid w:val="00534582"/>
    <w:rsid w:val="005367B7"/>
    <w:rsid w:val="00540B33"/>
    <w:rsid w:val="00540E03"/>
    <w:rsid w:val="00545946"/>
    <w:rsid w:val="00546AA6"/>
    <w:rsid w:val="005506D8"/>
    <w:rsid w:val="00550ACF"/>
    <w:rsid w:val="005574F5"/>
    <w:rsid w:val="00563A11"/>
    <w:rsid w:val="0056550C"/>
    <w:rsid w:val="00566C37"/>
    <w:rsid w:val="00567B2C"/>
    <w:rsid w:val="00572951"/>
    <w:rsid w:val="00576C63"/>
    <w:rsid w:val="0058062A"/>
    <w:rsid w:val="005810E2"/>
    <w:rsid w:val="0058298A"/>
    <w:rsid w:val="00585E20"/>
    <w:rsid w:val="00586E24"/>
    <w:rsid w:val="00590112"/>
    <w:rsid w:val="00590ECE"/>
    <w:rsid w:val="00591182"/>
    <w:rsid w:val="005919AD"/>
    <w:rsid w:val="00593020"/>
    <w:rsid w:val="005962F1"/>
    <w:rsid w:val="005A63D6"/>
    <w:rsid w:val="005B42BE"/>
    <w:rsid w:val="005C0B5D"/>
    <w:rsid w:val="005C0CBD"/>
    <w:rsid w:val="005C20B5"/>
    <w:rsid w:val="005C41B2"/>
    <w:rsid w:val="005C6813"/>
    <w:rsid w:val="005D2A40"/>
    <w:rsid w:val="005D5262"/>
    <w:rsid w:val="005D58AE"/>
    <w:rsid w:val="005E4858"/>
    <w:rsid w:val="005F029B"/>
    <w:rsid w:val="005F02C9"/>
    <w:rsid w:val="005F256A"/>
    <w:rsid w:val="005F3845"/>
    <w:rsid w:val="005F3CCD"/>
    <w:rsid w:val="005F58C9"/>
    <w:rsid w:val="005F7658"/>
    <w:rsid w:val="005F797F"/>
    <w:rsid w:val="006017BF"/>
    <w:rsid w:val="00602753"/>
    <w:rsid w:val="00603BCC"/>
    <w:rsid w:val="006050BC"/>
    <w:rsid w:val="0060593E"/>
    <w:rsid w:val="006079DE"/>
    <w:rsid w:val="00615C44"/>
    <w:rsid w:val="00617135"/>
    <w:rsid w:val="0062439E"/>
    <w:rsid w:val="00625B2B"/>
    <w:rsid w:val="00633255"/>
    <w:rsid w:val="0063339B"/>
    <w:rsid w:val="00637131"/>
    <w:rsid w:val="006379F7"/>
    <w:rsid w:val="00643C80"/>
    <w:rsid w:val="00644A76"/>
    <w:rsid w:val="0065072E"/>
    <w:rsid w:val="00652927"/>
    <w:rsid w:val="00652EA1"/>
    <w:rsid w:val="00652F8E"/>
    <w:rsid w:val="00654C86"/>
    <w:rsid w:val="0066529E"/>
    <w:rsid w:val="006670E7"/>
    <w:rsid w:val="006678BD"/>
    <w:rsid w:val="00671701"/>
    <w:rsid w:val="00671E95"/>
    <w:rsid w:val="006775F7"/>
    <w:rsid w:val="00677ACD"/>
    <w:rsid w:val="00682061"/>
    <w:rsid w:val="0068465F"/>
    <w:rsid w:val="006854AA"/>
    <w:rsid w:val="0068616B"/>
    <w:rsid w:val="00687535"/>
    <w:rsid w:val="006953BD"/>
    <w:rsid w:val="00695ECE"/>
    <w:rsid w:val="006A172B"/>
    <w:rsid w:val="006A2636"/>
    <w:rsid w:val="006A2B12"/>
    <w:rsid w:val="006A5819"/>
    <w:rsid w:val="006A63D1"/>
    <w:rsid w:val="006B2D73"/>
    <w:rsid w:val="006C1B42"/>
    <w:rsid w:val="006C3843"/>
    <w:rsid w:val="006C7F0C"/>
    <w:rsid w:val="006D330F"/>
    <w:rsid w:val="006D5087"/>
    <w:rsid w:val="006D5880"/>
    <w:rsid w:val="006E0A33"/>
    <w:rsid w:val="006E0D19"/>
    <w:rsid w:val="006F3B79"/>
    <w:rsid w:val="006F625F"/>
    <w:rsid w:val="00700F56"/>
    <w:rsid w:val="00704B18"/>
    <w:rsid w:val="00705AF3"/>
    <w:rsid w:val="0071436A"/>
    <w:rsid w:val="00717972"/>
    <w:rsid w:val="00717B91"/>
    <w:rsid w:val="00721201"/>
    <w:rsid w:val="00721473"/>
    <w:rsid w:val="0072716C"/>
    <w:rsid w:val="0073135B"/>
    <w:rsid w:val="00742416"/>
    <w:rsid w:val="00743217"/>
    <w:rsid w:val="007500CD"/>
    <w:rsid w:val="007542E6"/>
    <w:rsid w:val="00754BD9"/>
    <w:rsid w:val="00763FB0"/>
    <w:rsid w:val="00763FFA"/>
    <w:rsid w:val="00776F38"/>
    <w:rsid w:val="007847A8"/>
    <w:rsid w:val="007869DD"/>
    <w:rsid w:val="00790862"/>
    <w:rsid w:val="00797323"/>
    <w:rsid w:val="007B1179"/>
    <w:rsid w:val="007B68A5"/>
    <w:rsid w:val="007C283A"/>
    <w:rsid w:val="007C2CE9"/>
    <w:rsid w:val="007C4048"/>
    <w:rsid w:val="007C76E0"/>
    <w:rsid w:val="007C7B8D"/>
    <w:rsid w:val="007E0B4C"/>
    <w:rsid w:val="007E1AD9"/>
    <w:rsid w:val="007E2B64"/>
    <w:rsid w:val="007E31B6"/>
    <w:rsid w:val="007E3675"/>
    <w:rsid w:val="007E70BB"/>
    <w:rsid w:val="007E7E9A"/>
    <w:rsid w:val="007F3E4F"/>
    <w:rsid w:val="007F5756"/>
    <w:rsid w:val="00800390"/>
    <w:rsid w:val="00813AAA"/>
    <w:rsid w:val="00816146"/>
    <w:rsid w:val="0081752C"/>
    <w:rsid w:val="00822F5E"/>
    <w:rsid w:val="00823320"/>
    <w:rsid w:val="00824661"/>
    <w:rsid w:val="00826456"/>
    <w:rsid w:val="00832753"/>
    <w:rsid w:val="00833592"/>
    <w:rsid w:val="00837000"/>
    <w:rsid w:val="008406CB"/>
    <w:rsid w:val="00840E09"/>
    <w:rsid w:val="00852144"/>
    <w:rsid w:val="0085380C"/>
    <w:rsid w:val="00865DF8"/>
    <w:rsid w:val="00873C71"/>
    <w:rsid w:val="00873F33"/>
    <w:rsid w:val="00877644"/>
    <w:rsid w:val="00884E49"/>
    <w:rsid w:val="00886754"/>
    <w:rsid w:val="008906A3"/>
    <w:rsid w:val="0089090D"/>
    <w:rsid w:val="00890EBF"/>
    <w:rsid w:val="00895438"/>
    <w:rsid w:val="008A0C19"/>
    <w:rsid w:val="008A0D8B"/>
    <w:rsid w:val="008A0F23"/>
    <w:rsid w:val="008A546D"/>
    <w:rsid w:val="008B643E"/>
    <w:rsid w:val="008B68FF"/>
    <w:rsid w:val="008B7154"/>
    <w:rsid w:val="008C3067"/>
    <w:rsid w:val="008C34DC"/>
    <w:rsid w:val="008C3972"/>
    <w:rsid w:val="008C6289"/>
    <w:rsid w:val="008C64B8"/>
    <w:rsid w:val="008D0E87"/>
    <w:rsid w:val="008D24A9"/>
    <w:rsid w:val="008D4019"/>
    <w:rsid w:val="008E2012"/>
    <w:rsid w:val="008E556A"/>
    <w:rsid w:val="008E6F1B"/>
    <w:rsid w:val="008F2338"/>
    <w:rsid w:val="008F2590"/>
    <w:rsid w:val="008F3E51"/>
    <w:rsid w:val="008F4DDA"/>
    <w:rsid w:val="00900744"/>
    <w:rsid w:val="00900757"/>
    <w:rsid w:val="00910A04"/>
    <w:rsid w:val="0091445C"/>
    <w:rsid w:val="0091446F"/>
    <w:rsid w:val="00930D0C"/>
    <w:rsid w:val="0093385A"/>
    <w:rsid w:val="00933A3E"/>
    <w:rsid w:val="0093655E"/>
    <w:rsid w:val="00943A1F"/>
    <w:rsid w:val="0094405E"/>
    <w:rsid w:val="00944133"/>
    <w:rsid w:val="00944581"/>
    <w:rsid w:val="00945D40"/>
    <w:rsid w:val="00946C67"/>
    <w:rsid w:val="0095095D"/>
    <w:rsid w:val="00953CD2"/>
    <w:rsid w:val="00955E79"/>
    <w:rsid w:val="00960E6F"/>
    <w:rsid w:val="00961AFD"/>
    <w:rsid w:val="009642E4"/>
    <w:rsid w:val="0096654C"/>
    <w:rsid w:val="00972051"/>
    <w:rsid w:val="009726CE"/>
    <w:rsid w:val="00973451"/>
    <w:rsid w:val="00985050"/>
    <w:rsid w:val="009908FD"/>
    <w:rsid w:val="00990C14"/>
    <w:rsid w:val="00991E25"/>
    <w:rsid w:val="0099316D"/>
    <w:rsid w:val="009934C3"/>
    <w:rsid w:val="00996C27"/>
    <w:rsid w:val="009A1030"/>
    <w:rsid w:val="009A2E5B"/>
    <w:rsid w:val="009A35F4"/>
    <w:rsid w:val="009B1274"/>
    <w:rsid w:val="009B302C"/>
    <w:rsid w:val="009B503D"/>
    <w:rsid w:val="009C1509"/>
    <w:rsid w:val="009C23B3"/>
    <w:rsid w:val="009C3463"/>
    <w:rsid w:val="009C67E3"/>
    <w:rsid w:val="009D1124"/>
    <w:rsid w:val="009D1AF9"/>
    <w:rsid w:val="009D2A09"/>
    <w:rsid w:val="009D3491"/>
    <w:rsid w:val="009D3A9F"/>
    <w:rsid w:val="009D3C27"/>
    <w:rsid w:val="009E0792"/>
    <w:rsid w:val="009E2785"/>
    <w:rsid w:val="009E2EB6"/>
    <w:rsid w:val="009E601D"/>
    <w:rsid w:val="009E6D62"/>
    <w:rsid w:val="009F2CDC"/>
    <w:rsid w:val="009F36A6"/>
    <w:rsid w:val="009F6A29"/>
    <w:rsid w:val="00A0242B"/>
    <w:rsid w:val="00A04592"/>
    <w:rsid w:val="00A0490F"/>
    <w:rsid w:val="00A150AB"/>
    <w:rsid w:val="00A16A41"/>
    <w:rsid w:val="00A16E3D"/>
    <w:rsid w:val="00A17266"/>
    <w:rsid w:val="00A2072F"/>
    <w:rsid w:val="00A2219A"/>
    <w:rsid w:val="00A229BB"/>
    <w:rsid w:val="00A33063"/>
    <w:rsid w:val="00A36CDA"/>
    <w:rsid w:val="00A423B5"/>
    <w:rsid w:val="00A42FCA"/>
    <w:rsid w:val="00A44B9E"/>
    <w:rsid w:val="00A460AE"/>
    <w:rsid w:val="00A54B65"/>
    <w:rsid w:val="00A561F8"/>
    <w:rsid w:val="00A73BEC"/>
    <w:rsid w:val="00A74BF6"/>
    <w:rsid w:val="00A81FB6"/>
    <w:rsid w:val="00A8367C"/>
    <w:rsid w:val="00A838FD"/>
    <w:rsid w:val="00A84AC0"/>
    <w:rsid w:val="00A867E5"/>
    <w:rsid w:val="00A86A64"/>
    <w:rsid w:val="00A87A2B"/>
    <w:rsid w:val="00A90AA2"/>
    <w:rsid w:val="00A92F9B"/>
    <w:rsid w:val="00A93BA5"/>
    <w:rsid w:val="00A95488"/>
    <w:rsid w:val="00AA3E92"/>
    <w:rsid w:val="00AA62FB"/>
    <w:rsid w:val="00AA6E20"/>
    <w:rsid w:val="00AA7AAC"/>
    <w:rsid w:val="00AB2D35"/>
    <w:rsid w:val="00AB30C8"/>
    <w:rsid w:val="00AB37CE"/>
    <w:rsid w:val="00AB6A67"/>
    <w:rsid w:val="00AC4C33"/>
    <w:rsid w:val="00AC58CA"/>
    <w:rsid w:val="00AC7DEA"/>
    <w:rsid w:val="00AE0979"/>
    <w:rsid w:val="00AE18BA"/>
    <w:rsid w:val="00AE245E"/>
    <w:rsid w:val="00AF09DE"/>
    <w:rsid w:val="00B0233A"/>
    <w:rsid w:val="00B049F0"/>
    <w:rsid w:val="00B05EB8"/>
    <w:rsid w:val="00B06CE4"/>
    <w:rsid w:val="00B13679"/>
    <w:rsid w:val="00B14A6A"/>
    <w:rsid w:val="00B16B67"/>
    <w:rsid w:val="00B272CE"/>
    <w:rsid w:val="00B327A0"/>
    <w:rsid w:val="00B347E1"/>
    <w:rsid w:val="00B42D74"/>
    <w:rsid w:val="00B459A5"/>
    <w:rsid w:val="00B4718A"/>
    <w:rsid w:val="00B507B0"/>
    <w:rsid w:val="00B518FA"/>
    <w:rsid w:val="00B56474"/>
    <w:rsid w:val="00B56D5C"/>
    <w:rsid w:val="00B577C5"/>
    <w:rsid w:val="00B60959"/>
    <w:rsid w:val="00B62938"/>
    <w:rsid w:val="00B644A5"/>
    <w:rsid w:val="00B64637"/>
    <w:rsid w:val="00B65A10"/>
    <w:rsid w:val="00B72143"/>
    <w:rsid w:val="00B76320"/>
    <w:rsid w:val="00B77504"/>
    <w:rsid w:val="00B80201"/>
    <w:rsid w:val="00B81F63"/>
    <w:rsid w:val="00B85C55"/>
    <w:rsid w:val="00B90C3E"/>
    <w:rsid w:val="00B94E6D"/>
    <w:rsid w:val="00BA2EE1"/>
    <w:rsid w:val="00BA4030"/>
    <w:rsid w:val="00BA6E4D"/>
    <w:rsid w:val="00BB44F3"/>
    <w:rsid w:val="00BB6201"/>
    <w:rsid w:val="00BB7614"/>
    <w:rsid w:val="00BC0626"/>
    <w:rsid w:val="00BC72D2"/>
    <w:rsid w:val="00BC7835"/>
    <w:rsid w:val="00BD36BA"/>
    <w:rsid w:val="00BD53B7"/>
    <w:rsid w:val="00BD75AF"/>
    <w:rsid w:val="00BF2B02"/>
    <w:rsid w:val="00BF328E"/>
    <w:rsid w:val="00BF71BB"/>
    <w:rsid w:val="00C02125"/>
    <w:rsid w:val="00C02F78"/>
    <w:rsid w:val="00C05078"/>
    <w:rsid w:val="00C072FF"/>
    <w:rsid w:val="00C073A8"/>
    <w:rsid w:val="00C11A14"/>
    <w:rsid w:val="00C163B8"/>
    <w:rsid w:val="00C165D8"/>
    <w:rsid w:val="00C2206E"/>
    <w:rsid w:val="00C23EC6"/>
    <w:rsid w:val="00C30D86"/>
    <w:rsid w:val="00C31C96"/>
    <w:rsid w:val="00C32827"/>
    <w:rsid w:val="00C367FE"/>
    <w:rsid w:val="00C4043B"/>
    <w:rsid w:val="00C40EAB"/>
    <w:rsid w:val="00C41300"/>
    <w:rsid w:val="00C42F5E"/>
    <w:rsid w:val="00C43C02"/>
    <w:rsid w:val="00C52660"/>
    <w:rsid w:val="00C52D56"/>
    <w:rsid w:val="00C608BB"/>
    <w:rsid w:val="00C627AE"/>
    <w:rsid w:val="00C6302E"/>
    <w:rsid w:val="00C63EFE"/>
    <w:rsid w:val="00C645B7"/>
    <w:rsid w:val="00C67812"/>
    <w:rsid w:val="00C725D8"/>
    <w:rsid w:val="00C73DD3"/>
    <w:rsid w:val="00C753AC"/>
    <w:rsid w:val="00C82C1F"/>
    <w:rsid w:val="00C869CB"/>
    <w:rsid w:val="00C92941"/>
    <w:rsid w:val="00C94121"/>
    <w:rsid w:val="00C96BCB"/>
    <w:rsid w:val="00CA015F"/>
    <w:rsid w:val="00CB04E3"/>
    <w:rsid w:val="00CB2127"/>
    <w:rsid w:val="00CB3743"/>
    <w:rsid w:val="00CB42EE"/>
    <w:rsid w:val="00CB4D13"/>
    <w:rsid w:val="00CB5305"/>
    <w:rsid w:val="00CC20B6"/>
    <w:rsid w:val="00CC2418"/>
    <w:rsid w:val="00CC6DF6"/>
    <w:rsid w:val="00CD022E"/>
    <w:rsid w:val="00CD5C05"/>
    <w:rsid w:val="00CD6DDB"/>
    <w:rsid w:val="00CE03EA"/>
    <w:rsid w:val="00CE46C7"/>
    <w:rsid w:val="00CE4847"/>
    <w:rsid w:val="00CE491C"/>
    <w:rsid w:val="00CE56D0"/>
    <w:rsid w:val="00CE6BFC"/>
    <w:rsid w:val="00CE784F"/>
    <w:rsid w:val="00CF0973"/>
    <w:rsid w:val="00CF2D33"/>
    <w:rsid w:val="00CF2E28"/>
    <w:rsid w:val="00D05A85"/>
    <w:rsid w:val="00D103F3"/>
    <w:rsid w:val="00D168CE"/>
    <w:rsid w:val="00D2116A"/>
    <w:rsid w:val="00D24614"/>
    <w:rsid w:val="00D255C3"/>
    <w:rsid w:val="00D27B4E"/>
    <w:rsid w:val="00D320CC"/>
    <w:rsid w:val="00D36E74"/>
    <w:rsid w:val="00D408D0"/>
    <w:rsid w:val="00D42AB4"/>
    <w:rsid w:val="00D469A4"/>
    <w:rsid w:val="00D472AB"/>
    <w:rsid w:val="00D50F9F"/>
    <w:rsid w:val="00D52BE1"/>
    <w:rsid w:val="00D53773"/>
    <w:rsid w:val="00D5407A"/>
    <w:rsid w:val="00D5550E"/>
    <w:rsid w:val="00D566D8"/>
    <w:rsid w:val="00D56C1E"/>
    <w:rsid w:val="00D60A2E"/>
    <w:rsid w:val="00D657BD"/>
    <w:rsid w:val="00D66D2B"/>
    <w:rsid w:val="00D758A0"/>
    <w:rsid w:val="00D77188"/>
    <w:rsid w:val="00D81EE0"/>
    <w:rsid w:val="00D86F40"/>
    <w:rsid w:val="00D9069F"/>
    <w:rsid w:val="00D937DD"/>
    <w:rsid w:val="00DA1549"/>
    <w:rsid w:val="00DA1644"/>
    <w:rsid w:val="00DA1D3A"/>
    <w:rsid w:val="00DA2BEB"/>
    <w:rsid w:val="00DA2CCC"/>
    <w:rsid w:val="00DA2E73"/>
    <w:rsid w:val="00DA3192"/>
    <w:rsid w:val="00DA37E6"/>
    <w:rsid w:val="00DA42A4"/>
    <w:rsid w:val="00DA572D"/>
    <w:rsid w:val="00DA5F8B"/>
    <w:rsid w:val="00DA75F0"/>
    <w:rsid w:val="00DB1AB0"/>
    <w:rsid w:val="00DB45A5"/>
    <w:rsid w:val="00DC08AE"/>
    <w:rsid w:val="00DC11E3"/>
    <w:rsid w:val="00DC3AB4"/>
    <w:rsid w:val="00DC4704"/>
    <w:rsid w:val="00DD0AE3"/>
    <w:rsid w:val="00DD29F1"/>
    <w:rsid w:val="00DD5113"/>
    <w:rsid w:val="00DE06C4"/>
    <w:rsid w:val="00DE13F2"/>
    <w:rsid w:val="00DE3EF3"/>
    <w:rsid w:val="00DE6D7F"/>
    <w:rsid w:val="00DF14DE"/>
    <w:rsid w:val="00DF3C6F"/>
    <w:rsid w:val="00DF7B76"/>
    <w:rsid w:val="00E0480A"/>
    <w:rsid w:val="00E04946"/>
    <w:rsid w:val="00E07E5F"/>
    <w:rsid w:val="00E10E54"/>
    <w:rsid w:val="00E157EB"/>
    <w:rsid w:val="00E162DD"/>
    <w:rsid w:val="00E1691D"/>
    <w:rsid w:val="00E17310"/>
    <w:rsid w:val="00E26E79"/>
    <w:rsid w:val="00E30C7C"/>
    <w:rsid w:val="00E33818"/>
    <w:rsid w:val="00E33A82"/>
    <w:rsid w:val="00E36ACB"/>
    <w:rsid w:val="00E40C2E"/>
    <w:rsid w:val="00E42391"/>
    <w:rsid w:val="00E432A4"/>
    <w:rsid w:val="00E4596C"/>
    <w:rsid w:val="00E46349"/>
    <w:rsid w:val="00E468DA"/>
    <w:rsid w:val="00E53671"/>
    <w:rsid w:val="00E5547F"/>
    <w:rsid w:val="00E57906"/>
    <w:rsid w:val="00E61EE0"/>
    <w:rsid w:val="00E67A93"/>
    <w:rsid w:val="00E737D8"/>
    <w:rsid w:val="00E7666B"/>
    <w:rsid w:val="00E779B1"/>
    <w:rsid w:val="00E81F4F"/>
    <w:rsid w:val="00E837BA"/>
    <w:rsid w:val="00E845E7"/>
    <w:rsid w:val="00E86458"/>
    <w:rsid w:val="00E871CE"/>
    <w:rsid w:val="00E917D1"/>
    <w:rsid w:val="00E95183"/>
    <w:rsid w:val="00EA0EB5"/>
    <w:rsid w:val="00EA2871"/>
    <w:rsid w:val="00EA30A9"/>
    <w:rsid w:val="00EB01DF"/>
    <w:rsid w:val="00EB1907"/>
    <w:rsid w:val="00EB4A57"/>
    <w:rsid w:val="00EC46CC"/>
    <w:rsid w:val="00EC71EE"/>
    <w:rsid w:val="00EE06D5"/>
    <w:rsid w:val="00EE158D"/>
    <w:rsid w:val="00EE3BC5"/>
    <w:rsid w:val="00EE52C1"/>
    <w:rsid w:val="00EF0C19"/>
    <w:rsid w:val="00EF6E0F"/>
    <w:rsid w:val="00EF7277"/>
    <w:rsid w:val="00F00571"/>
    <w:rsid w:val="00F01950"/>
    <w:rsid w:val="00F02943"/>
    <w:rsid w:val="00F06201"/>
    <w:rsid w:val="00F068BF"/>
    <w:rsid w:val="00F15935"/>
    <w:rsid w:val="00F22BA8"/>
    <w:rsid w:val="00F324A7"/>
    <w:rsid w:val="00F34BF0"/>
    <w:rsid w:val="00F34FD0"/>
    <w:rsid w:val="00F356DF"/>
    <w:rsid w:val="00F40F12"/>
    <w:rsid w:val="00F41C01"/>
    <w:rsid w:val="00F46944"/>
    <w:rsid w:val="00F47B90"/>
    <w:rsid w:val="00F53548"/>
    <w:rsid w:val="00F55835"/>
    <w:rsid w:val="00F60C13"/>
    <w:rsid w:val="00F66251"/>
    <w:rsid w:val="00F775C3"/>
    <w:rsid w:val="00F80B24"/>
    <w:rsid w:val="00F81459"/>
    <w:rsid w:val="00F82028"/>
    <w:rsid w:val="00F842D6"/>
    <w:rsid w:val="00F90FD2"/>
    <w:rsid w:val="00F92F07"/>
    <w:rsid w:val="00FB4C52"/>
    <w:rsid w:val="00FB7410"/>
    <w:rsid w:val="00FC0FD6"/>
    <w:rsid w:val="00FC2ECA"/>
    <w:rsid w:val="00FC7EC0"/>
    <w:rsid w:val="00FD1F29"/>
    <w:rsid w:val="00FD229D"/>
    <w:rsid w:val="00FE1C2B"/>
    <w:rsid w:val="00FE2AE0"/>
    <w:rsid w:val="00FE3984"/>
    <w:rsid w:val="00FE64EF"/>
    <w:rsid w:val="00FE6FB0"/>
    <w:rsid w:val="00FF0FC4"/>
    <w:rsid w:val="00FF12CC"/>
    <w:rsid w:val="00FF1F4B"/>
    <w:rsid w:val="00FF3518"/>
    <w:rsid w:val="011D6260"/>
    <w:rsid w:val="01964C25"/>
    <w:rsid w:val="01D6343A"/>
    <w:rsid w:val="01DA7C98"/>
    <w:rsid w:val="027E29A5"/>
    <w:rsid w:val="0654426F"/>
    <w:rsid w:val="06B3590D"/>
    <w:rsid w:val="07082E19"/>
    <w:rsid w:val="07210405"/>
    <w:rsid w:val="07A42C97"/>
    <w:rsid w:val="07A90124"/>
    <w:rsid w:val="07D102E3"/>
    <w:rsid w:val="085417B6"/>
    <w:rsid w:val="096C0084"/>
    <w:rsid w:val="097B701A"/>
    <w:rsid w:val="0A002AF6"/>
    <w:rsid w:val="0A7D5943"/>
    <w:rsid w:val="0AC6703C"/>
    <w:rsid w:val="0B1E1C49"/>
    <w:rsid w:val="0DA916DB"/>
    <w:rsid w:val="0DE00553"/>
    <w:rsid w:val="0E1D7868"/>
    <w:rsid w:val="0E6A4BBF"/>
    <w:rsid w:val="0E8D75C0"/>
    <w:rsid w:val="0EAC0F21"/>
    <w:rsid w:val="0EC904D1"/>
    <w:rsid w:val="1013176C"/>
    <w:rsid w:val="104D284B"/>
    <w:rsid w:val="108A5F33"/>
    <w:rsid w:val="11584002"/>
    <w:rsid w:val="11E825EC"/>
    <w:rsid w:val="12F00F45"/>
    <w:rsid w:val="12F26322"/>
    <w:rsid w:val="1363315E"/>
    <w:rsid w:val="144D7891"/>
    <w:rsid w:val="1471061E"/>
    <w:rsid w:val="15743E42"/>
    <w:rsid w:val="165C7DBA"/>
    <w:rsid w:val="17CA4317"/>
    <w:rsid w:val="18340143"/>
    <w:rsid w:val="19CF6CD3"/>
    <w:rsid w:val="19E70E0E"/>
    <w:rsid w:val="1ABB4669"/>
    <w:rsid w:val="1B995AA0"/>
    <w:rsid w:val="1F053CF4"/>
    <w:rsid w:val="1F2E2AD5"/>
    <w:rsid w:val="1FD85E83"/>
    <w:rsid w:val="2000198D"/>
    <w:rsid w:val="20AA1E26"/>
    <w:rsid w:val="22A553ED"/>
    <w:rsid w:val="23DA5E7A"/>
    <w:rsid w:val="242520DD"/>
    <w:rsid w:val="24EE1B26"/>
    <w:rsid w:val="25001A40"/>
    <w:rsid w:val="254024F0"/>
    <w:rsid w:val="25560250"/>
    <w:rsid w:val="29CA071F"/>
    <w:rsid w:val="2A3A09D3"/>
    <w:rsid w:val="2A770838"/>
    <w:rsid w:val="2ABF24F8"/>
    <w:rsid w:val="2AFA300F"/>
    <w:rsid w:val="2D6D5012"/>
    <w:rsid w:val="2F421715"/>
    <w:rsid w:val="2FAB54A1"/>
    <w:rsid w:val="309E19D2"/>
    <w:rsid w:val="30D7502F"/>
    <w:rsid w:val="3151733F"/>
    <w:rsid w:val="31BD7E7C"/>
    <w:rsid w:val="32AF7511"/>
    <w:rsid w:val="333D1021"/>
    <w:rsid w:val="337201F6"/>
    <w:rsid w:val="340618D3"/>
    <w:rsid w:val="342C2547"/>
    <w:rsid w:val="34D82FC0"/>
    <w:rsid w:val="34F046A8"/>
    <w:rsid w:val="35B00AA5"/>
    <w:rsid w:val="36853A2D"/>
    <w:rsid w:val="369E1627"/>
    <w:rsid w:val="36DE5C94"/>
    <w:rsid w:val="374F332B"/>
    <w:rsid w:val="38C073F1"/>
    <w:rsid w:val="39374B6F"/>
    <w:rsid w:val="39390072"/>
    <w:rsid w:val="39C82DD9"/>
    <w:rsid w:val="3A0F6DD0"/>
    <w:rsid w:val="3A440CBC"/>
    <w:rsid w:val="3B595AEE"/>
    <w:rsid w:val="3B9C0EEA"/>
    <w:rsid w:val="3C0F1D99"/>
    <w:rsid w:val="3C194CBE"/>
    <w:rsid w:val="3D7A5865"/>
    <w:rsid w:val="3DBC52D8"/>
    <w:rsid w:val="3E5C75C8"/>
    <w:rsid w:val="3F6E2720"/>
    <w:rsid w:val="3F77F543"/>
    <w:rsid w:val="3FAA487F"/>
    <w:rsid w:val="41A55BC2"/>
    <w:rsid w:val="42646164"/>
    <w:rsid w:val="428A38B6"/>
    <w:rsid w:val="43521101"/>
    <w:rsid w:val="46D77749"/>
    <w:rsid w:val="46E644E0"/>
    <w:rsid w:val="474C7708"/>
    <w:rsid w:val="4793207A"/>
    <w:rsid w:val="47F619CC"/>
    <w:rsid w:val="481700D5"/>
    <w:rsid w:val="487C1FF8"/>
    <w:rsid w:val="4AC30FB8"/>
    <w:rsid w:val="4BEF09CC"/>
    <w:rsid w:val="4C0009C0"/>
    <w:rsid w:val="4CA14CC6"/>
    <w:rsid w:val="4D6F3F38"/>
    <w:rsid w:val="4F2B098E"/>
    <w:rsid w:val="50DF2ABC"/>
    <w:rsid w:val="510C4885"/>
    <w:rsid w:val="52E4668A"/>
    <w:rsid w:val="53A00750"/>
    <w:rsid w:val="556C3116"/>
    <w:rsid w:val="565518B4"/>
    <w:rsid w:val="5683367D"/>
    <w:rsid w:val="580B1E7F"/>
    <w:rsid w:val="5CB5062A"/>
    <w:rsid w:val="5D564930"/>
    <w:rsid w:val="5DAB65B8"/>
    <w:rsid w:val="5E173434"/>
    <w:rsid w:val="5E321E08"/>
    <w:rsid w:val="5F463DDB"/>
    <w:rsid w:val="63192522"/>
    <w:rsid w:val="63DE6EE1"/>
    <w:rsid w:val="646734C9"/>
    <w:rsid w:val="66254723"/>
    <w:rsid w:val="662B0FC4"/>
    <w:rsid w:val="66464C58"/>
    <w:rsid w:val="66A337D0"/>
    <w:rsid w:val="675E15BA"/>
    <w:rsid w:val="6A06437E"/>
    <w:rsid w:val="6A5247FE"/>
    <w:rsid w:val="6B1B1CC8"/>
    <w:rsid w:val="6C501D07"/>
    <w:rsid w:val="6E056E0D"/>
    <w:rsid w:val="6E0C6798"/>
    <w:rsid w:val="6E4C2E04"/>
    <w:rsid w:val="6EB33AAD"/>
    <w:rsid w:val="6FD24AF4"/>
    <w:rsid w:val="6FEB7EFB"/>
    <w:rsid w:val="70C3128F"/>
    <w:rsid w:val="70C77C95"/>
    <w:rsid w:val="72FC2779"/>
    <w:rsid w:val="73063D23"/>
    <w:rsid w:val="73EB3D81"/>
    <w:rsid w:val="74761FF4"/>
    <w:rsid w:val="76AA163F"/>
    <w:rsid w:val="76D13A7D"/>
    <w:rsid w:val="77B874C1"/>
    <w:rsid w:val="77D558AA"/>
    <w:rsid w:val="78A17348"/>
    <w:rsid w:val="7B227210"/>
    <w:rsid w:val="7CE945FD"/>
    <w:rsid w:val="7D204AD7"/>
    <w:rsid w:val="7E1718EF"/>
    <w:rsid w:val="7F683717"/>
    <w:rsid w:val="FEDBF3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等线" w:cs="Times New Roman"/>
      <w:kern w:val="2"/>
      <w:sz w:val="21"/>
      <w:szCs w:val="24"/>
      <w:lang w:val="en-US" w:eastAsia="zh-CN" w:bidi="ar-SA"/>
    </w:rPr>
  </w:style>
  <w:style w:type="paragraph" w:styleId="2">
    <w:name w:val="heading 1"/>
    <w:basedOn w:val="1"/>
    <w:next w:val="1"/>
    <w:link w:val="25"/>
    <w:qFormat/>
    <w:uiPriority w:val="0"/>
    <w:pPr>
      <w:numPr>
        <w:ilvl w:val="0"/>
        <w:numId w:val="1"/>
      </w:numPr>
      <w:spacing w:before="156" w:beforeLines="50" w:after="156" w:afterLines="50" w:line="360" w:lineRule="auto"/>
      <w:outlineLvl w:val="0"/>
    </w:pPr>
    <w:rPr>
      <w:rFonts w:ascii="仿宋_GB2312" w:hAnsi="仿宋" w:eastAsia="仿宋_GB2312"/>
      <w:b/>
      <w:sz w:val="3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3"/>
    <w:qFormat/>
    <w:uiPriority w:val="0"/>
    <w:rPr>
      <w:rFonts w:ascii="宋体"/>
      <w:sz w:val="18"/>
      <w:szCs w:val="18"/>
    </w:rPr>
  </w:style>
  <w:style w:type="paragraph" w:styleId="4">
    <w:name w:val="annotation text"/>
    <w:basedOn w:val="1"/>
    <w:link w:val="22"/>
    <w:qFormat/>
    <w:uiPriority w:val="0"/>
    <w:pPr>
      <w:jc w:val="left"/>
    </w:pPr>
  </w:style>
  <w:style w:type="paragraph" w:styleId="5">
    <w:name w:val="Body Text Indent"/>
    <w:basedOn w:val="1"/>
    <w:qFormat/>
    <w:uiPriority w:val="0"/>
    <w:pPr>
      <w:ind w:firstLine="555"/>
    </w:pPr>
    <w:rPr>
      <w:rFonts w:hint="eastAsia" w:ascii="楷体_GB2312" w:eastAsia="楷体_GB2312"/>
      <w:sz w:val="28"/>
    </w:rPr>
  </w:style>
  <w:style w:type="paragraph" w:styleId="6">
    <w:name w:val="toc 3"/>
    <w:basedOn w:val="1"/>
    <w:next w:val="1"/>
    <w:qFormat/>
    <w:uiPriority w:val="39"/>
    <w:pPr>
      <w:ind w:left="840" w:leftChars="400"/>
    </w:pPr>
  </w:style>
  <w:style w:type="paragraph" w:styleId="7">
    <w:name w:val="Plain Text"/>
    <w:basedOn w:val="1"/>
    <w:link w:val="26"/>
    <w:qFormat/>
    <w:uiPriority w:val="0"/>
    <w:rPr>
      <w:rFonts w:ascii="宋体" w:hAnsi="Courier New"/>
      <w:szCs w:val="21"/>
    </w:rPr>
  </w:style>
  <w:style w:type="paragraph" w:styleId="8">
    <w:name w:val="Date"/>
    <w:basedOn w:val="1"/>
    <w:next w:val="1"/>
    <w:link w:val="33"/>
    <w:qFormat/>
    <w:uiPriority w:val="0"/>
    <w:pPr>
      <w:ind w:left="100" w:leftChars="2500"/>
    </w:pPr>
  </w:style>
  <w:style w:type="paragraph" w:styleId="9">
    <w:name w:val="Balloon Text"/>
    <w:basedOn w:val="1"/>
    <w:link w:val="24"/>
    <w:qFormat/>
    <w:uiPriority w:val="0"/>
    <w:rPr>
      <w:sz w:val="18"/>
      <w:szCs w:val="18"/>
    </w:rPr>
  </w:style>
  <w:style w:type="paragraph" w:styleId="10">
    <w:name w:val="footer"/>
    <w:basedOn w:val="1"/>
    <w:link w:val="27"/>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qFormat/>
    <w:uiPriority w:val="0"/>
    <w:pPr>
      <w:spacing w:before="100" w:beforeAutospacing="1" w:after="100" w:afterAutospacing="1"/>
      <w:jc w:val="left"/>
    </w:pPr>
    <w:rPr>
      <w:kern w:val="0"/>
      <w:sz w:val="24"/>
    </w:rPr>
  </w:style>
  <w:style w:type="paragraph" w:styleId="15">
    <w:name w:val="annotation subject"/>
    <w:basedOn w:val="4"/>
    <w:next w:val="4"/>
    <w:link w:val="21"/>
    <w:qFormat/>
    <w:uiPriority w:val="0"/>
    <w:rPr>
      <w:b/>
      <w:bCs/>
    </w:rPr>
  </w:style>
  <w:style w:type="character" w:styleId="18">
    <w:name w:val="page number"/>
    <w:basedOn w:val="17"/>
    <w:qFormat/>
    <w:uiPriority w:val="0"/>
  </w:style>
  <w:style w:type="character" w:styleId="19">
    <w:name w:val="Hyperlink"/>
    <w:basedOn w:val="17"/>
    <w:unhideWhenUsed/>
    <w:qFormat/>
    <w:uiPriority w:val="99"/>
    <w:rPr>
      <w:color w:val="0000FF"/>
      <w:u w:val="single"/>
    </w:rPr>
  </w:style>
  <w:style w:type="character" w:styleId="20">
    <w:name w:val="annotation reference"/>
    <w:qFormat/>
    <w:uiPriority w:val="0"/>
    <w:rPr>
      <w:sz w:val="21"/>
      <w:szCs w:val="21"/>
    </w:rPr>
  </w:style>
  <w:style w:type="character" w:customStyle="1" w:styleId="21">
    <w:name w:val="批注主题 字符"/>
    <w:link w:val="15"/>
    <w:qFormat/>
    <w:uiPriority w:val="0"/>
    <w:rPr>
      <w:b/>
      <w:bCs/>
      <w:kern w:val="2"/>
      <w:sz w:val="21"/>
      <w:szCs w:val="24"/>
    </w:rPr>
  </w:style>
  <w:style w:type="character" w:customStyle="1" w:styleId="22">
    <w:name w:val="批注文字 字符"/>
    <w:link w:val="4"/>
    <w:qFormat/>
    <w:uiPriority w:val="0"/>
    <w:rPr>
      <w:kern w:val="2"/>
      <w:sz w:val="21"/>
      <w:szCs w:val="24"/>
    </w:rPr>
  </w:style>
  <w:style w:type="character" w:customStyle="1" w:styleId="23">
    <w:name w:val="文档结构图 字符"/>
    <w:link w:val="3"/>
    <w:qFormat/>
    <w:uiPriority w:val="0"/>
    <w:rPr>
      <w:rFonts w:ascii="宋体"/>
      <w:kern w:val="2"/>
      <w:sz w:val="18"/>
      <w:szCs w:val="18"/>
    </w:rPr>
  </w:style>
  <w:style w:type="character" w:customStyle="1" w:styleId="24">
    <w:name w:val="批注框文本 字符"/>
    <w:link w:val="9"/>
    <w:qFormat/>
    <w:uiPriority w:val="0"/>
    <w:rPr>
      <w:kern w:val="2"/>
      <w:sz w:val="18"/>
      <w:szCs w:val="18"/>
    </w:rPr>
  </w:style>
  <w:style w:type="character" w:customStyle="1" w:styleId="25">
    <w:name w:val="标题 1 字符"/>
    <w:link w:val="2"/>
    <w:qFormat/>
    <w:uiPriority w:val="0"/>
    <w:rPr>
      <w:rFonts w:ascii="仿宋_GB2312" w:hAnsi="仿宋" w:eastAsia="仿宋_GB2312"/>
      <w:b/>
      <w:kern w:val="2"/>
      <w:sz w:val="36"/>
      <w:szCs w:val="24"/>
    </w:rPr>
  </w:style>
  <w:style w:type="character" w:customStyle="1" w:styleId="26">
    <w:name w:val="纯文本 字符"/>
    <w:link w:val="7"/>
    <w:qFormat/>
    <w:uiPriority w:val="0"/>
    <w:rPr>
      <w:rFonts w:ascii="宋体" w:hAnsi="Courier New" w:cs="Courier New"/>
      <w:kern w:val="2"/>
      <w:sz w:val="21"/>
      <w:szCs w:val="21"/>
    </w:rPr>
  </w:style>
  <w:style w:type="character" w:customStyle="1" w:styleId="27">
    <w:name w:val="页脚 字符"/>
    <w:link w:val="10"/>
    <w:qFormat/>
    <w:uiPriority w:val="99"/>
    <w:rPr>
      <w:kern w:val="2"/>
      <w:sz w:val="18"/>
      <w:szCs w:val="18"/>
    </w:rPr>
  </w:style>
  <w:style w:type="paragraph" w:customStyle="1" w:styleId="28">
    <w:name w:val="子课题可行性报告"/>
    <w:basedOn w:val="1"/>
    <w:qFormat/>
    <w:uiPriority w:val="0"/>
    <w:pPr>
      <w:spacing w:line="360" w:lineRule="auto"/>
      <w:ind w:firstLine="200" w:firstLineChars="200"/>
    </w:pPr>
    <w:rPr>
      <w:rFonts w:ascii="仿宋_GB2312" w:eastAsia="仿宋_GB2312"/>
      <w:sz w:val="28"/>
      <w:szCs w:val="28"/>
    </w:rPr>
  </w:style>
  <w:style w:type="paragraph" w:customStyle="1" w:styleId="29">
    <w:name w:val="修订1"/>
    <w:semiHidden/>
    <w:qFormat/>
    <w:uiPriority w:val="99"/>
    <w:rPr>
      <w:rFonts w:ascii="Times New Roman" w:hAnsi="Times New Roman" w:eastAsia="等线" w:cs="Times New Roman"/>
      <w:kern w:val="2"/>
      <w:sz w:val="21"/>
      <w:szCs w:val="24"/>
      <w:lang w:val="en-US" w:eastAsia="zh-CN" w:bidi="ar-SA"/>
    </w:rPr>
  </w:style>
  <w:style w:type="paragraph" w:styleId="30">
    <w:name w:val="List Paragraph"/>
    <w:basedOn w:val="1"/>
    <w:qFormat/>
    <w:uiPriority w:val="34"/>
    <w:pPr>
      <w:ind w:firstLine="420" w:firstLineChars="200"/>
    </w:pPr>
  </w:style>
  <w:style w:type="paragraph" w:customStyle="1" w:styleId="31">
    <w:name w:val="TOC 标题1"/>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32">
    <w:name w:val="Char1 Char Char Char"/>
    <w:basedOn w:val="1"/>
    <w:qFormat/>
    <w:uiPriority w:val="0"/>
    <w:rPr>
      <w:rFonts w:ascii="Tahoma" w:hAnsi="Tahoma"/>
      <w:sz w:val="24"/>
      <w:szCs w:val="20"/>
    </w:rPr>
  </w:style>
  <w:style w:type="character" w:customStyle="1" w:styleId="33">
    <w:name w:val="日期 字符"/>
    <w:basedOn w:val="17"/>
    <w:link w:val="8"/>
    <w:qFormat/>
    <w:uiPriority w:val="0"/>
    <w:rPr>
      <w:rFonts w:eastAsia="等线"/>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306</Words>
  <Characters>1748</Characters>
  <Lines>14</Lines>
  <Paragraphs>4</Paragraphs>
  <TotalTime>156</TotalTime>
  <ScaleCrop>false</ScaleCrop>
  <LinksUpToDate>false</LinksUpToDate>
  <CharactersWithSpaces>2050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2021-08-29T09:05:00Z</dcterms:created>
  <dc:creator>朱笑稷</dc:creator>
  <cp:lastModifiedBy>于一鸣</cp:lastModifiedBy>
  <cp:lastPrinted>2020-04-02T09:09:00Z</cp:lastPrinted>
  <dcterms:modified xsi:type="dcterms:W3CDTF">2024-06-05T06:18:20Z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61B4D16A27104A0C81D7A66D8E94909B</vt:lpwstr>
  </property>
</Properties>
</file>