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p>
    <w:p>
      <w:pPr>
        <w:jc w:val="center"/>
        <w:rPr>
          <w:b/>
          <w:bCs/>
          <w:sz w:val="36"/>
          <w:szCs w:val="36"/>
        </w:rPr>
      </w:pPr>
      <w:r>
        <w:rPr>
          <w:rFonts w:hint="eastAsia"/>
          <w:b/>
          <w:bCs/>
          <w:sz w:val="36"/>
          <w:szCs w:val="36"/>
        </w:rPr>
        <w:t>2017年度产学研合作项目指南</w:t>
      </w:r>
    </w:p>
    <w:p>
      <w:pPr>
        <w:numPr>
          <w:ilvl w:val="0"/>
          <w:numId w:val="2"/>
        </w:numPr>
        <w:ind w:firstLine="420"/>
        <w:jc w:val="left"/>
        <w:rPr>
          <w:b/>
          <w:bCs/>
          <w:sz w:val="28"/>
          <w:szCs w:val="28"/>
        </w:rPr>
      </w:pPr>
      <w:r>
        <w:rPr>
          <w:rFonts w:hint="eastAsia"/>
          <w:b/>
          <w:bCs/>
          <w:sz w:val="28"/>
          <w:szCs w:val="28"/>
        </w:rPr>
        <w:t>背景</w:t>
      </w:r>
    </w:p>
    <w:p>
      <w:pPr>
        <w:ind w:firstLine="480"/>
        <w:rPr>
          <w:sz w:val="24"/>
        </w:rPr>
      </w:pPr>
      <w:r>
        <w:rPr>
          <w:rFonts w:hint="eastAsia"/>
          <w:sz w:val="24"/>
        </w:rPr>
        <w:t>为了进一步贯彻落实中广核高新核材集团有限公司（以下简称“我司”）“科技引领、健康发展”的战略，</w:t>
      </w:r>
      <w:r>
        <w:rPr>
          <w:rFonts w:hint="eastAsia"/>
          <w:sz w:val="24"/>
          <w:lang w:eastAsia="zh-CN"/>
        </w:rPr>
        <w:t>同时加强我司与高校、科研院所的科技交流和合作，我司希望</w:t>
      </w:r>
      <w:r>
        <w:rPr>
          <w:rFonts w:hint="eastAsia"/>
          <w:sz w:val="24"/>
        </w:rPr>
        <w:t>与</w:t>
      </w:r>
      <w:r>
        <w:rPr>
          <w:rFonts w:hint="eastAsia"/>
          <w:sz w:val="24"/>
          <w:lang w:eastAsia="zh-CN"/>
        </w:rPr>
        <w:t>高校、科研院所</w:t>
      </w:r>
      <w:r>
        <w:rPr>
          <w:rFonts w:hint="eastAsia"/>
          <w:sz w:val="24"/>
        </w:rPr>
        <w:t>协调各自的资本、人力和技术资源，通过合作开发或直接采用</w:t>
      </w:r>
      <w:r>
        <w:rPr>
          <w:rFonts w:hint="eastAsia"/>
          <w:sz w:val="24"/>
          <w:lang w:eastAsia="zh-CN"/>
        </w:rPr>
        <w:t>高校、科研院所</w:t>
      </w:r>
      <w:r>
        <w:rPr>
          <w:rFonts w:hint="eastAsia"/>
          <w:sz w:val="24"/>
        </w:rPr>
        <w:t>具有实用价值的科技成果转化为现实生产力</w:t>
      </w:r>
      <w:r>
        <w:rPr>
          <w:rFonts w:hint="eastAsia"/>
          <w:sz w:val="24"/>
          <w:lang w:eastAsia="zh-CN"/>
        </w:rPr>
        <w:t>。通过产学研合作</w:t>
      </w:r>
      <w:r>
        <w:rPr>
          <w:rFonts w:hint="eastAsia"/>
          <w:sz w:val="24"/>
        </w:rPr>
        <w:t>实现创新链与产业链高度融合</w:t>
      </w:r>
      <w:r>
        <w:rPr>
          <w:rFonts w:hint="eastAsia"/>
          <w:sz w:val="24"/>
          <w:lang w:eastAsia="zh-CN"/>
        </w:rPr>
        <w:t>，实现高校、科研院所与企业的双赢。</w:t>
      </w:r>
      <w:r>
        <w:rPr>
          <w:rFonts w:hint="eastAsia"/>
          <w:sz w:val="24"/>
        </w:rPr>
        <w:t>特制订与发布本指南。</w:t>
      </w:r>
    </w:p>
    <w:p>
      <w:pPr>
        <w:rPr>
          <w:sz w:val="24"/>
        </w:rPr>
      </w:pPr>
    </w:p>
    <w:p>
      <w:pPr>
        <w:rPr>
          <w:sz w:val="24"/>
        </w:rPr>
      </w:pPr>
      <w:r>
        <w:rPr>
          <w:rFonts w:hint="eastAsia"/>
          <w:sz w:val="24"/>
        </w:rPr>
        <w:t xml:space="preserve">  </w:t>
      </w:r>
      <w:r>
        <w:rPr>
          <w:rFonts w:hint="eastAsia"/>
          <w:b/>
          <w:bCs/>
          <w:sz w:val="28"/>
          <w:szCs w:val="28"/>
        </w:rPr>
        <w:t>二、基本要求</w:t>
      </w:r>
    </w:p>
    <w:p>
      <w:pPr>
        <w:ind w:firstLine="480"/>
        <w:rPr>
          <w:sz w:val="24"/>
        </w:rPr>
      </w:pPr>
      <w:r>
        <w:rPr>
          <w:rFonts w:hint="eastAsia"/>
          <w:sz w:val="24"/>
        </w:rPr>
        <w:t xml:space="preserve">产学研合作应以市场为导向，以产品为龙头，以效益为中心，以科技成果向现实生产力转化为重点，增强技术中心的科研实力，实现自主研发与引进技术的结合；当遵循自愿公平、诚实信用的原则，并依法或依照合同约定享受利益、承担风险。 </w:t>
      </w:r>
    </w:p>
    <w:p>
      <w:pPr>
        <w:ind w:firstLine="480"/>
        <w:rPr>
          <w:sz w:val="24"/>
        </w:rPr>
      </w:pPr>
    </w:p>
    <w:p>
      <w:pPr>
        <w:rPr>
          <w:sz w:val="24"/>
        </w:rPr>
      </w:pPr>
      <w:r>
        <w:rPr>
          <w:rFonts w:hint="eastAsia"/>
          <w:sz w:val="24"/>
        </w:rPr>
        <w:t xml:space="preserve">  </w:t>
      </w:r>
      <w:r>
        <w:rPr>
          <w:rFonts w:hint="eastAsia"/>
          <w:b/>
          <w:bCs/>
          <w:sz w:val="28"/>
          <w:szCs w:val="28"/>
        </w:rPr>
        <w:t>三、主要方向</w:t>
      </w:r>
    </w:p>
    <w:p>
      <w:pPr>
        <w:numPr>
          <w:ilvl w:val="0"/>
          <w:numId w:val="3"/>
        </w:numPr>
        <w:ind w:firstLine="360" w:firstLineChars="150"/>
        <w:rPr>
          <w:sz w:val="24"/>
        </w:rPr>
      </w:pPr>
      <w:r>
        <w:rPr>
          <w:rFonts w:hint="eastAsia"/>
          <w:sz w:val="24"/>
        </w:rPr>
        <w:t>先进制造：轻量化设计制造、核心部件自主配套、先进机器人、3D打印等</w:t>
      </w:r>
    </w:p>
    <w:p>
      <w:pPr>
        <w:numPr>
          <w:ilvl w:val="0"/>
          <w:numId w:val="3"/>
        </w:numPr>
        <w:ind w:firstLine="360" w:firstLineChars="150"/>
        <w:rPr>
          <w:sz w:val="24"/>
        </w:rPr>
      </w:pPr>
      <w:r>
        <w:rPr>
          <w:rFonts w:hint="eastAsia"/>
          <w:sz w:val="24"/>
        </w:rPr>
        <w:t>新材料:纳米、石墨烯、高温超导等前沿先导材料、碳纤维等高性能纤维及其复合材料</w:t>
      </w:r>
    </w:p>
    <w:p>
      <w:pPr>
        <w:numPr>
          <w:ilvl w:val="0"/>
          <w:numId w:val="3"/>
        </w:numPr>
        <w:ind w:firstLine="360" w:firstLineChars="150"/>
        <w:rPr>
          <w:sz w:val="24"/>
        </w:rPr>
      </w:pPr>
      <w:r>
        <w:rPr>
          <w:rFonts w:hint="eastAsia"/>
          <w:sz w:val="24"/>
        </w:rPr>
        <w:t>新能源：太阳能光伏/光热发电及储能新技术新材料、下一代核电、智能电网、新能源汽车等新材料</w:t>
      </w:r>
    </w:p>
    <w:p>
      <w:pPr>
        <w:numPr>
          <w:ilvl w:val="0"/>
          <w:numId w:val="3"/>
        </w:numPr>
        <w:ind w:firstLine="360" w:firstLineChars="150"/>
        <w:rPr>
          <w:sz w:val="24"/>
        </w:rPr>
      </w:pPr>
      <w:r>
        <w:rPr>
          <w:rFonts w:hint="eastAsia"/>
          <w:sz w:val="24"/>
        </w:rPr>
        <w:t>新型节能环保领域高分子材料及装备：低能耗废水深度处理装备、废弃物资源化技术及装备、新型环境功能材料、新型节能环保装备、新型建筑材料</w:t>
      </w:r>
    </w:p>
    <w:p>
      <w:pPr>
        <w:numPr>
          <w:ilvl w:val="0"/>
          <w:numId w:val="3"/>
        </w:numPr>
        <w:ind w:firstLine="360" w:firstLineChars="150"/>
        <w:rPr>
          <w:sz w:val="24"/>
        </w:rPr>
      </w:pPr>
      <w:r>
        <w:rPr>
          <w:rFonts w:hint="eastAsia"/>
          <w:sz w:val="24"/>
        </w:rPr>
        <w:t>合成材料：合成橡胶、黏合剂、涂料，特种改性材料、高性能高分子材料合成的研发与应用</w:t>
      </w:r>
    </w:p>
    <w:p>
      <w:pPr>
        <w:numPr>
          <w:ilvl w:val="0"/>
          <w:numId w:val="3"/>
        </w:numPr>
        <w:ind w:firstLine="360" w:firstLineChars="150"/>
        <w:rPr>
          <w:sz w:val="24"/>
        </w:rPr>
      </w:pPr>
      <w:r>
        <w:rPr>
          <w:rFonts w:hint="eastAsia"/>
          <w:sz w:val="24"/>
        </w:rPr>
        <w:t>高性能阻燃耐火材料、阻燃耐火关键材料</w:t>
      </w:r>
    </w:p>
    <w:p>
      <w:pPr>
        <w:numPr>
          <w:ilvl w:val="0"/>
          <w:numId w:val="3"/>
        </w:numPr>
        <w:ind w:firstLine="360" w:firstLineChars="150"/>
        <w:rPr>
          <w:sz w:val="24"/>
        </w:rPr>
      </w:pPr>
      <w:r>
        <w:rPr>
          <w:rFonts w:hint="eastAsia"/>
          <w:sz w:val="24"/>
        </w:rPr>
        <w:t>核电站用特种高分子非金属材料及部件：核电用消防、通风非金属管道、耐腐蚀部件、放射性防护非金属材料，核电非金属材料的老化寿命评价技术；</w:t>
      </w:r>
    </w:p>
    <w:p>
      <w:pPr>
        <w:numPr>
          <w:ilvl w:val="0"/>
          <w:numId w:val="3"/>
        </w:numPr>
        <w:ind w:firstLine="360" w:firstLineChars="150"/>
        <w:rPr>
          <w:sz w:val="24"/>
        </w:rPr>
      </w:pPr>
      <w:r>
        <w:rPr>
          <w:rFonts w:hint="eastAsia"/>
          <w:sz w:val="24"/>
        </w:rPr>
        <w:t>生物医药材料</w:t>
      </w:r>
    </w:p>
    <w:p>
      <w:pPr>
        <w:numPr>
          <w:ilvl w:val="0"/>
          <w:numId w:val="3"/>
        </w:numPr>
        <w:ind w:firstLine="360" w:firstLineChars="150"/>
        <w:rPr>
          <w:sz w:val="24"/>
        </w:rPr>
      </w:pPr>
      <w:r>
        <w:rPr>
          <w:rFonts w:hint="eastAsia"/>
          <w:sz w:val="24"/>
        </w:rPr>
        <w:t>特种电线电缆材料及先进工艺。辐照交联、改性新型功能材料。</w:t>
      </w:r>
    </w:p>
    <w:p>
      <w:pPr>
        <w:numPr>
          <w:ilvl w:val="0"/>
          <w:numId w:val="3"/>
        </w:numPr>
        <w:ind w:firstLine="360" w:firstLineChars="150"/>
        <w:rPr>
          <w:sz w:val="24"/>
        </w:rPr>
      </w:pPr>
      <w:r>
        <w:rPr>
          <w:rFonts w:hint="eastAsia"/>
          <w:sz w:val="24"/>
        </w:rPr>
        <w:t>航空航天、军工、海工装备高性能高分子材料</w:t>
      </w:r>
    </w:p>
    <w:p>
      <w:pPr>
        <w:rPr>
          <w:sz w:val="24"/>
        </w:rPr>
      </w:pPr>
    </w:p>
    <w:p>
      <w:pPr>
        <w:ind w:left="315" w:leftChars="150"/>
        <w:rPr>
          <w:sz w:val="24"/>
        </w:rPr>
      </w:pPr>
    </w:p>
    <w:p>
      <w:pPr>
        <w:numPr>
          <w:ilvl w:val="0"/>
          <w:numId w:val="4"/>
        </w:numPr>
        <w:ind w:left="315" w:leftChars="150"/>
        <w:rPr>
          <w:b/>
          <w:bCs/>
          <w:sz w:val="28"/>
          <w:szCs w:val="28"/>
        </w:rPr>
      </w:pPr>
      <w:r>
        <w:rPr>
          <w:rFonts w:hint="eastAsia"/>
          <w:b/>
          <w:bCs/>
          <w:sz w:val="28"/>
          <w:szCs w:val="28"/>
        </w:rPr>
        <w:t>其他参考文件</w:t>
      </w:r>
    </w:p>
    <w:p>
      <w:pPr>
        <w:ind w:firstLine="360" w:firstLineChars="150"/>
        <w:rPr>
          <w:sz w:val="24"/>
        </w:rPr>
      </w:pPr>
      <w:r>
        <w:rPr>
          <w:rFonts w:hint="eastAsia"/>
          <w:sz w:val="24"/>
        </w:rPr>
        <w:t>（一）《“十三五”国家科技创新规划》，国发〔2016〕43号</w:t>
      </w:r>
    </w:p>
    <w:p>
      <w:pPr>
        <w:ind w:firstLine="360" w:firstLineChars="150"/>
        <w:rPr>
          <w:sz w:val="24"/>
        </w:rPr>
      </w:pPr>
      <w:r>
        <w:rPr>
          <w:rFonts w:hint="eastAsia"/>
          <w:sz w:val="24"/>
        </w:rPr>
        <w:t>（二） 中国制造2025和工业4.0</w:t>
      </w:r>
    </w:p>
    <w:p>
      <w:pPr>
        <w:ind w:firstLine="360" w:firstLineChars="150"/>
        <w:rPr>
          <w:sz w:val="24"/>
        </w:rPr>
      </w:pPr>
      <w:r>
        <w:rPr>
          <w:rFonts w:hint="eastAsia"/>
          <w:sz w:val="24"/>
        </w:rPr>
        <w:t>（三）《江苏省政府科技创新“四十条政策”》</w:t>
      </w:r>
    </w:p>
    <w:p>
      <w:pPr>
        <w:ind w:firstLine="360" w:firstLineChars="150"/>
        <w:rPr>
          <w:sz w:val="24"/>
        </w:rPr>
      </w:pPr>
      <w:r>
        <w:rPr>
          <w:rFonts w:hint="eastAsia"/>
          <w:sz w:val="24"/>
        </w:rPr>
        <w:t>（四）《2017年度江苏省重点研发计划项目指南》，苏科计发〔2017〕20号</w:t>
      </w:r>
    </w:p>
    <w:p>
      <w:pPr>
        <w:ind w:firstLine="360" w:firstLineChars="150"/>
        <w:rPr>
          <w:sz w:val="24"/>
        </w:rPr>
      </w:pPr>
      <w:r>
        <w:rPr>
          <w:rFonts w:hint="eastAsia"/>
          <w:sz w:val="24"/>
        </w:rPr>
        <w:t>（五）《2017年江苏省科技成果转化专项资金项目指南》，苏科计发〔2017〕24号</w:t>
      </w:r>
    </w:p>
    <w:p>
      <w:pPr>
        <w:ind w:firstLine="360" w:firstLineChars="150"/>
        <w:rPr>
          <w:sz w:val="24"/>
        </w:rPr>
      </w:pPr>
      <w:r>
        <w:rPr>
          <w:rFonts w:hint="eastAsia"/>
          <w:sz w:val="24"/>
        </w:rPr>
        <w:t>（六）国家和江苏省确定的战略性新兴产业</w:t>
      </w:r>
    </w:p>
    <w:p>
      <w:pPr>
        <w:ind w:firstLine="360" w:firstLineChars="150"/>
        <w:rPr>
          <w:sz w:val="24"/>
        </w:rPr>
      </w:pPr>
      <w:r>
        <w:rPr>
          <w:rFonts w:hint="eastAsia"/>
          <w:sz w:val="24"/>
        </w:rPr>
        <w:t>（七）国家和江苏省鼓励发展的的高新技术产业</w:t>
      </w:r>
    </w:p>
    <w:p>
      <w:pPr>
        <w:ind w:firstLine="360" w:firstLineChars="150"/>
        <w:rPr>
          <w:sz w:val="24"/>
        </w:rPr>
      </w:pPr>
      <w:r>
        <w:rPr>
          <w:rFonts w:hint="eastAsia"/>
          <w:sz w:val="24"/>
        </w:rPr>
        <w:t xml:space="preserve"> 符合国家、地方政府发展政策的、经</w:t>
      </w:r>
      <w:r>
        <w:rPr>
          <w:rFonts w:hint="eastAsia"/>
          <w:sz w:val="24"/>
          <w:lang w:val="en-US" w:eastAsia="zh-CN"/>
        </w:rPr>
        <w:t>我司</w:t>
      </w:r>
      <w:r>
        <w:rPr>
          <w:rFonts w:hint="eastAsia"/>
          <w:sz w:val="24"/>
        </w:rPr>
        <w:t>科技委评估审核通过后，也可作为产学研合作项目立项。</w:t>
      </w:r>
    </w:p>
    <w:p>
      <w:pPr>
        <w:ind w:firstLine="360" w:firstLineChars="150"/>
        <w:rPr>
          <w:sz w:val="24"/>
        </w:rPr>
      </w:pPr>
    </w:p>
    <w:p>
      <w:pPr>
        <w:numPr>
          <w:ilvl w:val="0"/>
          <w:numId w:val="4"/>
        </w:numPr>
        <w:ind w:left="315" w:leftChars="150" w:firstLine="281" w:firstLineChars="100"/>
        <w:jc w:val="left"/>
        <w:rPr>
          <w:b/>
          <w:bCs/>
          <w:sz w:val="28"/>
          <w:szCs w:val="28"/>
        </w:rPr>
      </w:pPr>
      <w:r>
        <w:rPr>
          <w:rFonts w:hint="eastAsia"/>
          <w:b/>
          <w:bCs/>
          <w:sz w:val="28"/>
          <w:szCs w:val="28"/>
        </w:rPr>
        <w:t>项目立项</w:t>
      </w:r>
    </w:p>
    <w:p>
      <w:pPr>
        <w:jc w:val="left"/>
        <w:rPr>
          <w:rFonts w:ascii="宋体" w:hAnsi="宋体" w:eastAsia="宋体" w:cs="宋体"/>
          <w:sz w:val="24"/>
        </w:rPr>
      </w:pPr>
      <w:r>
        <w:rPr>
          <w:rFonts w:hint="eastAsia" w:ascii="宋体" w:hAnsi="宋体" w:eastAsia="宋体" w:cs="宋体"/>
          <w:sz w:val="24"/>
        </w:rPr>
        <w:t xml:space="preserve">   （一）4月1</w:t>
      </w:r>
      <w:r>
        <w:rPr>
          <w:rFonts w:hint="eastAsia" w:ascii="宋体" w:hAnsi="宋体" w:eastAsia="宋体" w:cs="宋体"/>
          <w:sz w:val="24"/>
          <w:lang w:val="en-US" w:eastAsia="zh-CN"/>
        </w:rPr>
        <w:t>0</w:t>
      </w:r>
      <w:bookmarkStart w:id="0" w:name="_GoBack"/>
      <w:bookmarkEnd w:id="0"/>
      <w:r>
        <w:rPr>
          <w:rFonts w:hint="eastAsia" w:ascii="宋体" w:hAnsi="宋体" w:eastAsia="宋体" w:cs="宋体"/>
          <w:sz w:val="24"/>
          <w:lang w:val="en-US" w:eastAsia="zh-CN"/>
        </w:rPr>
        <w:t>日</w:t>
      </w:r>
      <w:r>
        <w:rPr>
          <w:rFonts w:hint="eastAsia" w:ascii="宋体" w:hAnsi="宋体" w:eastAsia="宋体" w:cs="宋体"/>
          <w:sz w:val="24"/>
        </w:rPr>
        <w:t>前请院校合作方向我们推荐并提交项目名称和简要的项目信息至我司进行初步评估，提交格式请以：项目名称+项目研究目标+研发周期；</w:t>
      </w:r>
    </w:p>
    <w:p>
      <w:pPr>
        <w:jc w:val="left"/>
        <w:rPr>
          <w:rFonts w:ascii="宋体" w:hAnsi="宋体" w:eastAsia="宋体" w:cs="宋体"/>
          <w:sz w:val="24"/>
        </w:rPr>
      </w:pPr>
      <w:r>
        <w:rPr>
          <w:rFonts w:hint="eastAsia" w:ascii="宋体" w:hAnsi="宋体" w:eastAsia="宋体" w:cs="宋体"/>
          <w:sz w:val="24"/>
        </w:rPr>
        <w:t xml:space="preserve">   （二）通过初评的项目请在4月17日前填写《2017年产学研合作项目拟申报表》报我司进行复评；</w:t>
      </w:r>
    </w:p>
    <w:p>
      <w:pPr>
        <w:jc w:val="left"/>
        <w:rPr>
          <w:rFonts w:ascii="宋体" w:hAnsi="宋体" w:eastAsia="宋体" w:cs="宋体"/>
          <w:sz w:val="24"/>
        </w:rPr>
      </w:pPr>
      <w:r>
        <w:rPr>
          <w:rFonts w:hint="eastAsia" w:ascii="宋体" w:hAnsi="宋体" w:eastAsia="宋体" w:cs="宋体"/>
          <w:sz w:val="24"/>
        </w:rPr>
        <w:t xml:space="preserve">   （三）经复评认可的产学研合作项目请在5月5日前填写完整申报材料，包括《科研项目可行性分析报告》、项目申报书等，由我司科技委进行审核；</w:t>
      </w:r>
    </w:p>
    <w:p>
      <w:pPr>
        <w:jc w:val="left"/>
        <w:rPr>
          <w:rFonts w:ascii="宋体" w:hAnsi="宋体" w:eastAsia="宋体" w:cs="宋体"/>
          <w:sz w:val="24"/>
        </w:rPr>
      </w:pPr>
      <w:r>
        <w:rPr>
          <w:rFonts w:hint="eastAsia" w:ascii="宋体" w:hAnsi="宋体" w:eastAsia="宋体" w:cs="宋体"/>
          <w:sz w:val="24"/>
        </w:rPr>
        <w:t xml:space="preserve">   （四）我司科技委在6月初择优选出部分项目作为拟立项项目，届时我司会与院校方约定时间，由院校方作现场项目立项PPT介绍</w:t>
      </w:r>
      <w:r>
        <w:rPr>
          <w:rFonts w:hint="eastAsia" w:ascii="宋体" w:hAnsi="宋体" w:eastAsia="宋体" w:cs="宋体"/>
          <w:sz w:val="24"/>
          <w:lang w:eastAsia="zh-CN"/>
        </w:rPr>
        <w:t>，</w:t>
      </w:r>
      <w:r>
        <w:rPr>
          <w:rFonts w:hint="eastAsia" w:ascii="宋体" w:hAnsi="宋体" w:eastAsia="宋体" w:cs="宋体"/>
          <w:sz w:val="24"/>
        </w:rPr>
        <w:t>解答公司科技委问题；</w:t>
      </w:r>
    </w:p>
    <w:p>
      <w:pPr>
        <w:rPr>
          <w:rFonts w:ascii="宋体" w:hAnsi="宋体" w:eastAsia="宋体" w:cs="宋体"/>
          <w:sz w:val="24"/>
        </w:rPr>
      </w:pPr>
      <w:r>
        <w:rPr>
          <w:rFonts w:hint="eastAsia" w:ascii="宋体" w:hAnsi="宋体" w:eastAsia="宋体" w:cs="宋体"/>
          <w:sz w:val="24"/>
        </w:rPr>
        <w:t xml:space="preserve">   （五）项目答辩通过后的项目作为当年的产学研合作项目立项，我司与院校方将在7月前签订项目合作协议，约定产学研项目具体细节。</w:t>
      </w:r>
    </w:p>
    <w:p>
      <w:pPr>
        <w:jc w:val="left"/>
        <w:rPr>
          <w:rFonts w:ascii="宋体" w:hAnsi="宋体" w:eastAsia="宋体" w:cs="宋体"/>
          <w:sz w:val="24"/>
        </w:rPr>
      </w:pPr>
      <w:r>
        <w:rPr>
          <w:rFonts w:hint="eastAsia" w:ascii="宋体" w:hAnsi="宋体" w:eastAsia="宋体" w:cs="宋体"/>
          <w:sz w:val="24"/>
        </w:rPr>
        <w:t xml:space="preserve">   </w:t>
      </w:r>
      <w:r>
        <w:fldChar w:fldCharType="begin"/>
      </w:r>
      <w:r>
        <w:instrText xml:space="preserve"> HYPERLINK "mailto:（六）项目的电子稿资料请发至邮箱luning@cgnam.cn," </w:instrText>
      </w:r>
      <w:r>
        <w:fldChar w:fldCharType="separate"/>
      </w:r>
      <w:r>
        <w:rPr>
          <w:rFonts w:hint="eastAsia" w:ascii="宋体" w:hAnsi="宋体" w:eastAsia="宋体" w:cs="宋体"/>
          <w:sz w:val="24"/>
        </w:rPr>
        <w:t>（六）项目的所有电子稿资料请发至邮箱shanyongdong@cgnam.cn或luning@cgnam.cn。</w:t>
      </w:r>
      <w:r>
        <w:rPr>
          <w:rFonts w:hint="eastAsia" w:ascii="宋体" w:hAnsi="宋体" w:eastAsia="宋体" w:cs="宋体"/>
          <w:sz w:val="24"/>
        </w:rPr>
        <w:fldChar w:fldCharType="end"/>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联系人：</w:t>
      </w:r>
    </w:p>
    <w:p>
      <w:pPr>
        <w:rPr>
          <w:rFonts w:ascii="宋体" w:hAnsi="宋体" w:eastAsia="宋体" w:cs="宋体"/>
          <w:sz w:val="24"/>
        </w:rPr>
      </w:pPr>
    </w:p>
    <w:p>
      <w:pPr>
        <w:ind w:firstLine="480"/>
        <w:rPr>
          <w:rFonts w:ascii="宋体" w:hAnsi="宋体" w:eastAsia="宋体" w:cs="宋体"/>
          <w:sz w:val="24"/>
        </w:rPr>
      </w:pPr>
      <w:r>
        <w:rPr>
          <w:rFonts w:hint="eastAsia" w:ascii="宋体" w:hAnsi="宋体" w:eastAsia="宋体" w:cs="宋体"/>
          <w:sz w:val="24"/>
        </w:rPr>
        <w:t>中广核高新核材集团有限公司 总工程师：单永东  13606243485</w:t>
      </w:r>
    </w:p>
    <w:p>
      <w:pPr>
        <w:ind w:firstLine="480"/>
        <w:rPr>
          <w:rFonts w:ascii="宋体" w:hAnsi="宋体" w:eastAsia="宋体" w:cs="宋体"/>
          <w:sz w:val="24"/>
        </w:rPr>
      </w:pPr>
    </w:p>
    <w:p>
      <w:pPr>
        <w:ind w:firstLine="480"/>
        <w:rPr>
          <w:rFonts w:ascii="宋体" w:hAnsi="宋体" w:eastAsia="宋体" w:cs="宋体"/>
          <w:sz w:val="24"/>
        </w:rPr>
      </w:pPr>
      <w:r>
        <w:rPr>
          <w:rFonts w:hint="eastAsia" w:ascii="宋体" w:hAnsi="宋体" w:eastAsia="宋体" w:cs="宋体"/>
          <w:sz w:val="24"/>
        </w:rPr>
        <w:t>中广核高新核材集团有限公司 技管部：  陆  宁  15850574134</w:t>
      </w:r>
    </w:p>
    <w:p>
      <w:pPr>
        <w:ind w:firstLine="480"/>
        <w:rPr>
          <w:rFonts w:ascii="宋体" w:hAnsi="宋体" w:eastAsia="宋体" w:cs="宋体"/>
          <w:sz w:val="24"/>
        </w:rPr>
      </w:pPr>
    </w:p>
    <w:p>
      <w:pPr>
        <w:ind w:firstLine="480"/>
        <w:rPr>
          <w:rFonts w:ascii="宋体" w:hAnsi="宋体" w:eastAsia="宋体" w:cs="宋体"/>
          <w:sz w:val="24"/>
        </w:rPr>
      </w:pPr>
    </w:p>
    <w:p>
      <w:pPr>
        <w:rPr>
          <w:rFonts w:ascii="宋体" w:hAnsi="宋体" w:eastAsia="宋体" w:cs="宋体"/>
          <w:sz w:val="24"/>
        </w:rPr>
      </w:pPr>
    </w:p>
    <w:p>
      <w:pPr>
        <w:ind w:firstLine="480"/>
        <w:rPr>
          <w:rFonts w:ascii="宋体" w:hAnsi="宋体" w:eastAsia="宋体" w:cs="宋体"/>
          <w:sz w:val="24"/>
        </w:rPr>
      </w:pPr>
    </w:p>
    <w:p>
      <w:pPr>
        <w:ind w:firstLine="480"/>
        <w:rPr>
          <w:rFonts w:ascii="宋体" w:hAnsi="宋体" w:eastAsia="宋体" w:cs="宋体"/>
          <w:sz w:val="24"/>
        </w:rPr>
      </w:pPr>
    </w:p>
    <w:p>
      <w:pPr>
        <w:ind w:firstLine="480"/>
        <w:jc w:val="center"/>
        <w:rPr>
          <w:rFonts w:ascii="宋体" w:hAnsi="宋体" w:eastAsia="宋体" w:cs="宋体"/>
          <w:sz w:val="24"/>
        </w:rPr>
      </w:pPr>
      <w:r>
        <w:rPr>
          <w:rFonts w:hint="eastAsia" w:ascii="宋体" w:hAnsi="宋体" w:eastAsia="宋体" w:cs="宋体"/>
          <w:sz w:val="24"/>
        </w:rPr>
        <w:t xml:space="preserve">               中广核高新核材集团有限公司</w:t>
      </w:r>
    </w:p>
    <w:p>
      <w:pPr>
        <w:ind w:firstLine="480"/>
        <w:jc w:val="center"/>
        <w:rPr>
          <w:rFonts w:ascii="宋体" w:hAnsi="宋体" w:eastAsia="宋体" w:cs="宋体"/>
          <w:sz w:val="24"/>
        </w:rPr>
      </w:pPr>
    </w:p>
    <w:p>
      <w:pPr>
        <w:ind w:firstLine="480"/>
        <w:jc w:val="right"/>
        <w:rPr>
          <w:rFonts w:ascii="宋体" w:hAnsi="宋体" w:eastAsia="宋体" w:cs="宋体"/>
          <w:sz w:val="24"/>
        </w:rPr>
      </w:pPr>
      <w:r>
        <w:rPr>
          <w:rFonts w:hint="eastAsia" w:ascii="宋体" w:hAnsi="宋体" w:eastAsia="宋体" w:cs="宋体"/>
          <w:sz w:val="24"/>
        </w:rPr>
        <w:t>中广核三角洲（苏州）新材料研发有限公司</w:t>
      </w:r>
    </w:p>
    <w:p>
      <w:pPr>
        <w:ind w:firstLine="480"/>
        <w:jc w:val="right"/>
        <w:rPr>
          <w:rFonts w:ascii="宋体" w:hAnsi="宋体" w:eastAsia="宋体" w:cs="宋体"/>
          <w:sz w:val="24"/>
        </w:rPr>
      </w:pPr>
    </w:p>
    <w:p>
      <w:pPr>
        <w:ind w:firstLine="480"/>
        <w:jc w:val="right"/>
        <w:rPr>
          <w:rFonts w:ascii="宋体" w:hAnsi="宋体" w:eastAsia="宋体" w:cs="宋体"/>
          <w:sz w:val="24"/>
        </w:rPr>
      </w:pPr>
      <w:r>
        <w:rPr>
          <w:rFonts w:hint="eastAsia" w:ascii="宋体" w:hAnsi="宋体" w:eastAsia="宋体" w:cs="宋体"/>
          <w:sz w:val="24"/>
        </w:rPr>
        <w:t>2017年3月23日</w:t>
      </w:r>
    </w:p>
    <w:p>
      <w:pPr>
        <w:rPr>
          <w:rFonts w:ascii="宋体" w:hAnsi="宋体" w:eastAsia="宋体" w:cs="宋体"/>
          <w:sz w:val="24"/>
        </w:rPr>
      </w:pPr>
    </w:p>
    <w:p>
      <w:pPr>
        <w:ind w:firstLine="315" w:firstLineChars="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n-cs">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舒体">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swiss"/>
    <w:pitch w:val="default"/>
    <w:sig w:usb0="00000000" w:usb1="00000000" w:usb2="00000000" w:usb3="00000000" w:csb0="0000019F" w:csb1="00000000"/>
  </w:font>
  <w:font w:name="ˎ̥">
    <w:altName w:val="Times New Roman"/>
    <w:panose1 w:val="00000000000000000000"/>
    <w:charset w:val="00"/>
    <w:family w:val="auto"/>
    <w:pitch w:val="default"/>
    <w:sig w:usb0="00000000" w:usb1="00000000" w:usb2="00000000"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方正仿宋_GBK">
    <w:altName w:val="宋体"/>
    <w:panose1 w:val="03000509000000000000"/>
    <w:charset w:val="86"/>
    <w:family w:val="roma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Wingdings 2">
    <w:panose1 w:val="05020102010507070707"/>
    <w:charset w:val="02"/>
    <w:family w:val="auto"/>
    <w:pitch w:val="default"/>
    <w:sig w:usb0="00000000" w:usb1="00000000" w:usb2="00000000" w:usb3="00000000" w:csb0="80000000" w:csb1="00000000"/>
  </w:font>
  <w:font w:name="lucida Grande">
    <w:altName w:val="Courier New"/>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Dutch801 Rm BT">
    <w:altName w:val="Courier New"/>
    <w:panose1 w:val="00000000000000000000"/>
    <w:charset w:val="00"/>
    <w:family w:val="auto"/>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Gabriola">
    <w:panose1 w:val="04040605051002020D02"/>
    <w:charset w:val="00"/>
    <w:family w:val="auto"/>
    <w:pitch w:val="default"/>
    <w:sig w:usb0="E00002EF" w:usb1="50002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2284"/>
    <w:multiLevelType w:val="multilevel"/>
    <w:tmpl w:val="58842284"/>
    <w:lvl w:ilvl="0" w:tentative="0">
      <w:start w:val="1"/>
      <w:numFmt w:val="decimal"/>
      <w:pStyle w:val="2"/>
      <w:lvlText w:val="%1.0"/>
      <w:lvlJc w:val="left"/>
      <w:pPr>
        <w:tabs>
          <w:tab w:val="left" w:pos="425"/>
        </w:tabs>
        <w:ind w:left="425" w:hanging="425"/>
      </w:pPr>
      <w:rPr>
        <w:rFonts w:hint="eastAsia" w:ascii="宋体" w:hAnsi="宋体" w:eastAsia="宋体"/>
        <w:color w:val="000000"/>
      </w:rPr>
    </w:lvl>
    <w:lvl w:ilvl="1" w:tentative="0">
      <w:start w:val="1"/>
      <w:numFmt w:val="decimal"/>
      <w:pStyle w:val="3"/>
      <w:isLgl/>
      <w:lvlText w:val="%1.%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isLg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58B7A9D5"/>
    <w:multiLevelType w:val="singleLevel"/>
    <w:tmpl w:val="58B7A9D5"/>
    <w:lvl w:ilvl="0" w:tentative="0">
      <w:start w:val="1"/>
      <w:numFmt w:val="chineseCounting"/>
      <w:suff w:val="nothing"/>
      <w:lvlText w:val="%1、"/>
      <w:lvlJc w:val="left"/>
    </w:lvl>
  </w:abstractNum>
  <w:abstractNum w:abstractNumId="2">
    <w:nsid w:val="58B7AE95"/>
    <w:multiLevelType w:val="singleLevel"/>
    <w:tmpl w:val="58B7AE95"/>
    <w:lvl w:ilvl="0" w:tentative="0">
      <w:start w:val="1"/>
      <w:numFmt w:val="chineseCounting"/>
      <w:suff w:val="nothing"/>
      <w:lvlText w:val="（%1）"/>
      <w:lvlJc w:val="left"/>
    </w:lvl>
  </w:abstractNum>
  <w:abstractNum w:abstractNumId="3">
    <w:nsid w:val="58B7B1DC"/>
    <w:multiLevelType w:val="singleLevel"/>
    <w:tmpl w:val="58B7B1DC"/>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F3AF6"/>
    <w:rsid w:val="00034AB5"/>
    <w:rsid w:val="00065382"/>
    <w:rsid w:val="00250EFA"/>
    <w:rsid w:val="00263345"/>
    <w:rsid w:val="002F75C0"/>
    <w:rsid w:val="005C43D4"/>
    <w:rsid w:val="005F05B5"/>
    <w:rsid w:val="006F1271"/>
    <w:rsid w:val="00AE7473"/>
    <w:rsid w:val="00B074A9"/>
    <w:rsid w:val="05323118"/>
    <w:rsid w:val="05CF7B01"/>
    <w:rsid w:val="1073221D"/>
    <w:rsid w:val="19065C55"/>
    <w:rsid w:val="22AC393C"/>
    <w:rsid w:val="23BD7520"/>
    <w:rsid w:val="27620637"/>
    <w:rsid w:val="2A0F643F"/>
    <w:rsid w:val="59AF3AF6"/>
    <w:rsid w:val="6927021A"/>
    <w:rsid w:val="752C1C88"/>
    <w:rsid w:val="7D180F8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spacing w:before="60" w:after="60" w:line="360" w:lineRule="auto"/>
      <w:ind w:right="113"/>
      <w:jc w:val="left"/>
      <w:outlineLvl w:val="0"/>
    </w:pPr>
    <w:rPr>
      <w:rFonts w:ascii="宋体" w:hAnsi="宋体" w:eastAsia="宋体" w:cs="Times New Roman"/>
      <w:b/>
      <w:sz w:val="2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8"/>
    <w:qFormat/>
    <w:uiPriority w:val="0"/>
    <w:rPr>
      <w:sz w:val="18"/>
      <w:szCs w:val="18"/>
    </w:rPr>
  </w:style>
  <w:style w:type="character" w:styleId="6">
    <w:name w:val="Hyperlink"/>
    <w:basedOn w:val="5"/>
    <w:qFormat/>
    <w:uiPriority w:val="0"/>
    <w:rPr>
      <w:color w:val="0000FF"/>
      <w:u w:val="single"/>
    </w:rPr>
  </w:style>
  <w:style w:type="character" w:customStyle="1" w:styleId="8">
    <w:name w:val="批注框文本 Char"/>
    <w:basedOn w:val="5"/>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241</Words>
  <Characters>1375</Characters>
  <Lines>11</Lines>
  <Paragraphs>3</Paragraphs>
  <ScaleCrop>false</ScaleCrop>
  <LinksUpToDate>false</LinksUpToDate>
  <CharactersWithSpaces>1613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2017-03-23T05:43:00Z</dcterms:created>
  <dc:creator>ln</dc:creator>
  <cp:lastModifiedBy>ln</cp:lastModifiedBy>
  <dcterms:modified xsi:type="dcterms:W3CDTF">2017-04-05T02:04:43Z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